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04B3D573" w:rsidR="006A0297" w:rsidRDefault="006A0297">
      <w:pPr>
        <w:rPr>
          <w:rFonts w:ascii="Lora" w:hAnsi="Lora"/>
        </w:rPr>
      </w:pPr>
    </w:p>
    <w:p w14:paraId="021048EA" w14:textId="45C9EBF6" w:rsidR="00633163" w:rsidRDefault="00633163">
      <w:pPr>
        <w:rPr>
          <w:rFonts w:ascii="Lora" w:hAnsi="Lora"/>
        </w:rPr>
      </w:pPr>
    </w:p>
    <w:p w14:paraId="3406A55A" w14:textId="3FB06E01" w:rsidR="00583795" w:rsidRPr="003644B0" w:rsidRDefault="00583795" w:rsidP="00583795">
      <w:pPr>
        <w:jc w:val="center"/>
        <w:rPr>
          <w:rFonts w:ascii="Lora" w:hAnsi="Lora"/>
          <w:b/>
          <w:sz w:val="24"/>
          <w:szCs w:val="24"/>
        </w:rPr>
      </w:pPr>
      <w:r>
        <w:rPr>
          <w:rFonts w:ascii="Lora" w:hAnsi="Lora"/>
          <w:b/>
          <w:sz w:val="24"/>
          <w:szCs w:val="24"/>
        </w:rPr>
        <w:t>Bakalárska</w:t>
      </w:r>
      <w:r w:rsidRPr="003644B0">
        <w:rPr>
          <w:rFonts w:ascii="Lora" w:hAnsi="Lora"/>
          <w:b/>
          <w:sz w:val="24"/>
          <w:szCs w:val="24"/>
        </w:rPr>
        <w:t xml:space="preserve"> štátna skúška</w:t>
      </w:r>
    </w:p>
    <w:p w14:paraId="7E023BEB" w14:textId="1B8B970B" w:rsidR="00583795" w:rsidRPr="003644B0" w:rsidRDefault="00583795" w:rsidP="00583795">
      <w:pPr>
        <w:jc w:val="center"/>
        <w:rPr>
          <w:rFonts w:ascii="Lora" w:hAnsi="Lora"/>
          <w:bCs/>
          <w:sz w:val="24"/>
          <w:szCs w:val="24"/>
        </w:rPr>
      </w:pPr>
      <w:r w:rsidRPr="003644B0">
        <w:rPr>
          <w:rFonts w:ascii="Lora" w:hAnsi="Lora"/>
          <w:bCs/>
          <w:sz w:val="24"/>
          <w:szCs w:val="24"/>
        </w:rPr>
        <w:t xml:space="preserve">Študijný program: </w:t>
      </w:r>
      <w:r>
        <w:rPr>
          <w:rFonts w:ascii="Lora" w:hAnsi="Lora"/>
          <w:b/>
          <w:sz w:val="24"/>
          <w:szCs w:val="24"/>
        </w:rPr>
        <w:t>Komunikácia a marketing vo verejnej politike a verejnej správe</w:t>
      </w:r>
    </w:p>
    <w:p w14:paraId="36C1987D" w14:textId="52761D1C" w:rsidR="00583795" w:rsidRPr="003644B0" w:rsidRDefault="00583795" w:rsidP="00583795">
      <w:pPr>
        <w:jc w:val="center"/>
        <w:rPr>
          <w:rFonts w:ascii="Lora" w:hAnsi="Lora"/>
          <w:bCs/>
          <w:sz w:val="24"/>
          <w:szCs w:val="24"/>
        </w:rPr>
      </w:pPr>
      <w:r w:rsidRPr="003644B0">
        <w:rPr>
          <w:rFonts w:ascii="Lora" w:hAnsi="Lora"/>
          <w:bCs/>
          <w:sz w:val="24"/>
          <w:szCs w:val="24"/>
        </w:rPr>
        <w:t xml:space="preserve">Predmet: </w:t>
      </w:r>
      <w:r w:rsidRPr="003644B0">
        <w:rPr>
          <w:rFonts w:ascii="Lora" w:hAnsi="Lora"/>
          <w:b/>
          <w:sz w:val="24"/>
          <w:szCs w:val="24"/>
        </w:rPr>
        <w:t>Štátna skúška z</w:t>
      </w:r>
      <w:r>
        <w:rPr>
          <w:rFonts w:ascii="Lora" w:hAnsi="Lora"/>
          <w:b/>
          <w:sz w:val="24"/>
          <w:szCs w:val="24"/>
        </w:rPr>
        <w:t> komunikácie a marketingu</w:t>
      </w:r>
    </w:p>
    <w:p w14:paraId="3C03BF77" w14:textId="4D65074C" w:rsidR="00583795" w:rsidRDefault="00583795" w:rsidP="00583795">
      <w:pPr>
        <w:jc w:val="center"/>
        <w:rPr>
          <w:rFonts w:ascii="Lora" w:hAnsi="Lora"/>
          <w:b/>
          <w:color w:val="FF0000"/>
          <w:sz w:val="24"/>
          <w:szCs w:val="24"/>
        </w:rPr>
      </w:pPr>
      <w:r w:rsidRPr="003644B0">
        <w:rPr>
          <w:rFonts w:ascii="Lora" w:hAnsi="Lora"/>
          <w:b/>
          <w:color w:val="FF0000"/>
          <w:sz w:val="24"/>
          <w:szCs w:val="24"/>
        </w:rPr>
        <w:t>Platné od júna 2022</w:t>
      </w:r>
    </w:p>
    <w:p w14:paraId="37D5C441" w14:textId="77777777" w:rsidR="00583795" w:rsidRPr="003644B0" w:rsidRDefault="00583795" w:rsidP="00583795">
      <w:pPr>
        <w:jc w:val="center"/>
        <w:rPr>
          <w:rFonts w:ascii="Lora" w:hAnsi="Lora"/>
          <w:b/>
          <w:color w:val="FF0000"/>
          <w:sz w:val="24"/>
          <w:szCs w:val="24"/>
        </w:rPr>
      </w:pPr>
    </w:p>
    <w:p w14:paraId="0D3A2140" w14:textId="77777777" w:rsidR="00715758" w:rsidRPr="00583795" w:rsidRDefault="00715758" w:rsidP="0079606D">
      <w:pPr>
        <w:pStyle w:val="Odsekzoznamu"/>
        <w:widowControl w:val="0"/>
        <w:numPr>
          <w:ilvl w:val="0"/>
          <w:numId w:val="8"/>
        </w:numPr>
        <w:tabs>
          <w:tab w:val="left" w:pos="142"/>
        </w:tabs>
        <w:autoSpaceDE w:val="0"/>
        <w:autoSpaceDN w:val="0"/>
        <w:spacing w:after="0" w:line="240" w:lineRule="auto"/>
        <w:ind w:left="425" w:hanging="425"/>
        <w:contextualSpacing w:val="0"/>
        <w:jc w:val="both"/>
        <w:rPr>
          <w:rFonts w:ascii="Lora" w:hAnsi="Lora"/>
          <w:sz w:val="24"/>
          <w:lang w:val="sk-SK"/>
        </w:rPr>
      </w:pPr>
      <w:r w:rsidRPr="00583795">
        <w:rPr>
          <w:rFonts w:ascii="Lora" w:hAnsi="Lora"/>
          <w:sz w:val="24"/>
          <w:szCs w:val="24"/>
          <w:lang w:val="sk-SK"/>
        </w:rPr>
        <w:t>Komunikácia v organizácii a komunikačné prostredie podniku.</w:t>
      </w:r>
    </w:p>
    <w:p w14:paraId="0A1A5285" w14:textId="77777777" w:rsidR="00715758" w:rsidRPr="00583795" w:rsidRDefault="00715758" w:rsidP="0079606D">
      <w:pPr>
        <w:pStyle w:val="Odsekzoznamu"/>
        <w:widowControl w:val="0"/>
        <w:numPr>
          <w:ilvl w:val="0"/>
          <w:numId w:val="8"/>
        </w:numPr>
        <w:tabs>
          <w:tab w:val="left" w:pos="142"/>
        </w:tabs>
        <w:autoSpaceDE w:val="0"/>
        <w:autoSpaceDN w:val="0"/>
        <w:spacing w:after="0" w:line="240" w:lineRule="auto"/>
        <w:ind w:left="425" w:hanging="425"/>
        <w:contextualSpacing w:val="0"/>
        <w:jc w:val="both"/>
        <w:rPr>
          <w:rFonts w:ascii="Lora" w:hAnsi="Lora"/>
          <w:sz w:val="24"/>
          <w:lang w:val="sk-SK"/>
        </w:rPr>
      </w:pPr>
      <w:r w:rsidRPr="00583795">
        <w:rPr>
          <w:rFonts w:ascii="Lora" w:hAnsi="Lora"/>
          <w:sz w:val="24"/>
          <w:szCs w:val="24"/>
          <w:lang w:val="sk-SK"/>
        </w:rPr>
        <w:t>Interná a externá komunikácia v podniku.</w:t>
      </w:r>
    </w:p>
    <w:p w14:paraId="2EDC699F" w14:textId="77777777" w:rsidR="00715758" w:rsidRPr="00583795" w:rsidRDefault="00715758" w:rsidP="0079606D">
      <w:pPr>
        <w:pStyle w:val="Odsekzoznamu"/>
        <w:widowControl w:val="0"/>
        <w:numPr>
          <w:ilvl w:val="0"/>
          <w:numId w:val="8"/>
        </w:numPr>
        <w:tabs>
          <w:tab w:val="left" w:pos="142"/>
        </w:tabs>
        <w:autoSpaceDE w:val="0"/>
        <w:autoSpaceDN w:val="0"/>
        <w:spacing w:after="0" w:line="240" w:lineRule="auto"/>
        <w:ind w:left="425" w:hanging="425"/>
        <w:contextualSpacing w:val="0"/>
        <w:jc w:val="both"/>
        <w:rPr>
          <w:rFonts w:ascii="Lora" w:hAnsi="Lora"/>
          <w:sz w:val="24"/>
          <w:lang w:val="sk-SK"/>
        </w:rPr>
      </w:pPr>
      <w:r w:rsidRPr="00583795">
        <w:rPr>
          <w:rFonts w:ascii="Lora" w:hAnsi="Lora"/>
          <w:sz w:val="24"/>
          <w:szCs w:val="24"/>
          <w:lang w:val="sk-SK"/>
        </w:rPr>
        <w:t>Získavanie a výber zamestnancov ako súčasť budovania značky zamestnávateľa.</w:t>
      </w:r>
    </w:p>
    <w:p w14:paraId="58CCC02B" w14:textId="77777777" w:rsidR="00715758" w:rsidRPr="00583795" w:rsidRDefault="00715758" w:rsidP="0079606D">
      <w:pPr>
        <w:pStyle w:val="Odsekzoznamu"/>
        <w:numPr>
          <w:ilvl w:val="0"/>
          <w:numId w:val="8"/>
        </w:numPr>
        <w:tabs>
          <w:tab w:val="left" w:pos="142"/>
        </w:tabs>
        <w:spacing w:after="0" w:line="240" w:lineRule="auto"/>
        <w:ind w:left="425" w:hanging="425"/>
        <w:contextualSpacing w:val="0"/>
        <w:jc w:val="both"/>
        <w:rPr>
          <w:rFonts w:ascii="Lora" w:hAnsi="Lora"/>
          <w:sz w:val="24"/>
          <w:szCs w:val="24"/>
          <w:lang w:val="sk-SK"/>
        </w:rPr>
      </w:pPr>
      <w:r w:rsidRPr="00583795">
        <w:rPr>
          <w:rFonts w:ascii="Lora" w:hAnsi="Lora"/>
          <w:sz w:val="24"/>
          <w:szCs w:val="24"/>
          <w:lang w:val="sk-SK"/>
        </w:rPr>
        <w:t>Motivácia zamestnancov (teórie pracovnej motivácie; faktory motivácie; motivačné bariéry; pracovná spokojnosť; fluktuácia a absentérstvo).</w:t>
      </w:r>
    </w:p>
    <w:p w14:paraId="41F50F6E" w14:textId="77777777" w:rsidR="00715758" w:rsidRPr="00583795" w:rsidRDefault="00715758" w:rsidP="0079606D">
      <w:pPr>
        <w:pStyle w:val="Odsekzoznamu"/>
        <w:widowControl w:val="0"/>
        <w:numPr>
          <w:ilvl w:val="0"/>
          <w:numId w:val="8"/>
        </w:numPr>
        <w:tabs>
          <w:tab w:val="left" w:pos="142"/>
        </w:tabs>
        <w:autoSpaceDE w:val="0"/>
        <w:autoSpaceDN w:val="0"/>
        <w:spacing w:after="0" w:line="240" w:lineRule="auto"/>
        <w:ind w:left="425" w:hanging="425"/>
        <w:contextualSpacing w:val="0"/>
        <w:jc w:val="both"/>
        <w:rPr>
          <w:rFonts w:ascii="Lora" w:hAnsi="Lora"/>
          <w:sz w:val="24"/>
          <w:lang w:val="sk-SK"/>
        </w:rPr>
      </w:pPr>
      <w:r w:rsidRPr="00583795">
        <w:rPr>
          <w:rFonts w:ascii="Lora" w:hAnsi="Lora"/>
          <w:color w:val="000000"/>
          <w:sz w:val="24"/>
          <w:szCs w:val="24"/>
          <w:lang w:val="sk-SK" w:eastAsia="sk-SK"/>
        </w:rPr>
        <w:t xml:space="preserve">Zákaznícke stratégie a analýzy zákazníkov. </w:t>
      </w:r>
    </w:p>
    <w:p w14:paraId="715DD8AF" w14:textId="77777777" w:rsidR="00715758" w:rsidRPr="00583795" w:rsidRDefault="00715758" w:rsidP="0079606D">
      <w:pPr>
        <w:numPr>
          <w:ilvl w:val="0"/>
          <w:numId w:val="8"/>
        </w:numPr>
        <w:shd w:val="clear" w:color="auto" w:fill="FFFFFF"/>
        <w:tabs>
          <w:tab w:val="left" w:pos="142"/>
        </w:tabs>
        <w:suppressAutoHyphens w:val="0"/>
        <w:autoSpaceDN/>
        <w:spacing w:after="0" w:line="240" w:lineRule="auto"/>
        <w:ind w:left="425" w:hanging="425"/>
        <w:jc w:val="both"/>
        <w:rPr>
          <w:rFonts w:ascii="Lora" w:hAnsi="Lora"/>
          <w:color w:val="000000"/>
          <w:sz w:val="24"/>
          <w:szCs w:val="24"/>
          <w:lang w:eastAsia="sk-SK"/>
        </w:rPr>
      </w:pPr>
      <w:r w:rsidRPr="00583795">
        <w:rPr>
          <w:rFonts w:ascii="Lora" w:hAnsi="Lora"/>
          <w:color w:val="000000"/>
          <w:sz w:val="24"/>
          <w:szCs w:val="24"/>
          <w:lang w:eastAsia="sk-SK"/>
        </w:rPr>
        <w:t xml:space="preserve">Portfólio analýzy (jednoduché portfóliové analýzy; BCG matica; trajektória úspešnosti a trajektória katastrofy; </w:t>
      </w:r>
      <w:proofErr w:type="spellStart"/>
      <w:r w:rsidRPr="00583795">
        <w:rPr>
          <w:rFonts w:ascii="Lora" w:hAnsi="Lora"/>
          <w:color w:val="000000"/>
          <w:sz w:val="24"/>
          <w:szCs w:val="24"/>
          <w:lang w:eastAsia="sk-SK"/>
        </w:rPr>
        <w:t>multifaktorové</w:t>
      </w:r>
      <w:proofErr w:type="spellEnd"/>
      <w:r w:rsidRPr="00583795">
        <w:rPr>
          <w:rFonts w:ascii="Lora" w:hAnsi="Lora"/>
          <w:color w:val="000000"/>
          <w:sz w:val="24"/>
          <w:szCs w:val="24"/>
          <w:lang w:eastAsia="sk-SK"/>
        </w:rPr>
        <w:t xml:space="preserve"> portfólio analýzy a matice).</w:t>
      </w:r>
    </w:p>
    <w:p w14:paraId="384E96BA" w14:textId="77777777" w:rsidR="00715758" w:rsidRPr="00583795" w:rsidRDefault="00715758" w:rsidP="0079606D">
      <w:pPr>
        <w:numPr>
          <w:ilvl w:val="0"/>
          <w:numId w:val="8"/>
        </w:numPr>
        <w:shd w:val="clear" w:color="auto" w:fill="FFFFFF"/>
        <w:tabs>
          <w:tab w:val="left" w:pos="142"/>
        </w:tabs>
        <w:suppressAutoHyphens w:val="0"/>
        <w:autoSpaceDN/>
        <w:spacing w:after="0" w:line="240" w:lineRule="auto"/>
        <w:ind w:left="425" w:hanging="425"/>
        <w:jc w:val="both"/>
        <w:rPr>
          <w:rFonts w:ascii="Lora" w:hAnsi="Lora"/>
          <w:color w:val="000000"/>
          <w:sz w:val="24"/>
          <w:szCs w:val="24"/>
          <w:lang w:eastAsia="sk-SK"/>
        </w:rPr>
      </w:pPr>
      <w:r w:rsidRPr="00583795">
        <w:rPr>
          <w:rFonts w:ascii="Lora" w:hAnsi="Lora"/>
          <w:color w:val="000000"/>
          <w:sz w:val="24"/>
          <w:szCs w:val="24"/>
          <w:lang w:eastAsia="sk-SK"/>
        </w:rPr>
        <w:t>Globalizácia v marketingu, globálne podniky, rast a rozvoj podniku.</w:t>
      </w:r>
    </w:p>
    <w:p w14:paraId="39F93FCD" w14:textId="77777777" w:rsidR="00715758" w:rsidRPr="00583795" w:rsidRDefault="00715758" w:rsidP="0079606D">
      <w:pPr>
        <w:pStyle w:val="Odsekzoznamu"/>
        <w:widowControl w:val="0"/>
        <w:numPr>
          <w:ilvl w:val="0"/>
          <w:numId w:val="8"/>
        </w:numPr>
        <w:tabs>
          <w:tab w:val="left" w:pos="142"/>
        </w:tabs>
        <w:autoSpaceDE w:val="0"/>
        <w:autoSpaceDN w:val="0"/>
        <w:spacing w:after="0" w:line="240" w:lineRule="auto"/>
        <w:ind w:left="425" w:hanging="425"/>
        <w:contextualSpacing w:val="0"/>
        <w:jc w:val="both"/>
        <w:rPr>
          <w:rFonts w:ascii="Lora" w:hAnsi="Lora"/>
          <w:sz w:val="24"/>
          <w:lang w:val="sk-SK"/>
        </w:rPr>
      </w:pPr>
      <w:r w:rsidRPr="00583795">
        <w:rPr>
          <w:rFonts w:ascii="Lora" w:hAnsi="Lora"/>
          <w:color w:val="000000"/>
          <w:sz w:val="24"/>
          <w:szCs w:val="24"/>
          <w:lang w:val="sk-SK" w:eastAsia="sk-SK"/>
        </w:rPr>
        <w:t>Vymedzenie verbálnej a neverbálnej komunikácie manažérov.</w:t>
      </w:r>
    </w:p>
    <w:p w14:paraId="2A117A55" w14:textId="77777777" w:rsidR="00715758" w:rsidRPr="00583795" w:rsidRDefault="00715758" w:rsidP="0079606D">
      <w:pPr>
        <w:pStyle w:val="Odsekzoznamu"/>
        <w:widowControl w:val="0"/>
        <w:numPr>
          <w:ilvl w:val="0"/>
          <w:numId w:val="8"/>
        </w:numPr>
        <w:tabs>
          <w:tab w:val="left" w:pos="142"/>
        </w:tabs>
        <w:autoSpaceDE w:val="0"/>
        <w:autoSpaceDN w:val="0"/>
        <w:spacing w:after="0" w:line="240" w:lineRule="auto"/>
        <w:ind w:left="425" w:hanging="425"/>
        <w:contextualSpacing w:val="0"/>
        <w:jc w:val="both"/>
        <w:rPr>
          <w:rFonts w:ascii="Lora" w:hAnsi="Lora"/>
          <w:sz w:val="24"/>
          <w:lang w:val="sk-SK"/>
        </w:rPr>
      </w:pP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lang w:val="sk-SK" w:eastAsia="sk-SK"/>
        </w:rPr>
        <w:t>Asertivita v manažérskej komunikácii.</w:t>
      </w:r>
    </w:p>
    <w:p w14:paraId="7B8EE711" w14:textId="77777777" w:rsidR="00715758" w:rsidRPr="00583795" w:rsidRDefault="00715758" w:rsidP="0079606D">
      <w:pPr>
        <w:pStyle w:val="Odsekzoznamu"/>
        <w:widowControl w:val="0"/>
        <w:numPr>
          <w:ilvl w:val="0"/>
          <w:numId w:val="8"/>
        </w:numPr>
        <w:tabs>
          <w:tab w:val="left" w:pos="142"/>
        </w:tabs>
        <w:autoSpaceDE w:val="0"/>
        <w:autoSpaceDN w:val="0"/>
        <w:spacing w:after="0" w:line="240" w:lineRule="auto"/>
        <w:ind w:left="425" w:hanging="425"/>
        <w:contextualSpacing w:val="0"/>
        <w:jc w:val="both"/>
        <w:rPr>
          <w:rFonts w:ascii="Lora" w:hAnsi="Lora"/>
          <w:sz w:val="24"/>
          <w:lang w:val="sk-SK"/>
        </w:rPr>
      </w:pP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lang w:val="sk-SK" w:eastAsia="sk-SK"/>
        </w:rPr>
        <w:t xml:space="preserve">Efektívna manažérska komunikácia. </w:t>
      </w:r>
    </w:p>
    <w:p w14:paraId="34436F5D" w14:textId="77777777" w:rsidR="00715758" w:rsidRPr="00583795" w:rsidRDefault="00715758" w:rsidP="0079606D">
      <w:pPr>
        <w:pStyle w:val="Odsekzoznamu"/>
        <w:widowControl w:val="0"/>
        <w:numPr>
          <w:ilvl w:val="0"/>
          <w:numId w:val="8"/>
        </w:numPr>
        <w:tabs>
          <w:tab w:val="left" w:pos="142"/>
        </w:tabs>
        <w:autoSpaceDE w:val="0"/>
        <w:autoSpaceDN w:val="0"/>
        <w:spacing w:after="0" w:line="240" w:lineRule="auto"/>
        <w:ind w:left="425" w:hanging="425"/>
        <w:contextualSpacing w:val="0"/>
        <w:jc w:val="both"/>
        <w:rPr>
          <w:rFonts w:ascii="Lora" w:hAnsi="Lora"/>
          <w:sz w:val="24"/>
          <w:lang w:val="sk-SK"/>
        </w:rPr>
      </w:pPr>
      <w:r w:rsidRPr="00583795">
        <w:rPr>
          <w:rFonts w:ascii="Lora" w:hAnsi="Lora"/>
          <w:bCs/>
          <w:sz w:val="24"/>
          <w:szCs w:val="24"/>
          <w:lang w:val="sk-SK"/>
        </w:rPr>
        <w:t>Manažment vzťahov s médiami a zásady komunikácie s médiami.</w:t>
      </w:r>
    </w:p>
    <w:p w14:paraId="1A1403C0" w14:textId="77777777" w:rsidR="00715758" w:rsidRPr="00583795" w:rsidRDefault="00715758" w:rsidP="0079606D">
      <w:pPr>
        <w:pStyle w:val="Odsekzoznamu"/>
        <w:numPr>
          <w:ilvl w:val="0"/>
          <w:numId w:val="8"/>
        </w:numPr>
        <w:tabs>
          <w:tab w:val="left" w:pos="142"/>
        </w:tabs>
        <w:spacing w:after="0" w:line="240" w:lineRule="auto"/>
        <w:ind w:left="425" w:hanging="425"/>
        <w:jc w:val="both"/>
        <w:rPr>
          <w:rFonts w:ascii="Lora" w:hAnsi="Lora"/>
          <w:bCs/>
          <w:sz w:val="24"/>
          <w:szCs w:val="24"/>
          <w:lang w:val="sk-SK"/>
        </w:rPr>
      </w:pPr>
      <w:r w:rsidRPr="00583795">
        <w:rPr>
          <w:rFonts w:ascii="Lora" w:hAnsi="Lora"/>
          <w:bCs/>
          <w:sz w:val="24"/>
          <w:szCs w:val="24"/>
          <w:lang w:val="sk-SK"/>
        </w:rPr>
        <w:t>Hovorca v štátnej správe, hovorca v samospráve, systém práce hovorcov, úloha tlačového hovorcu.</w:t>
      </w:r>
    </w:p>
    <w:p w14:paraId="0CE0A2BD" w14:textId="77777777" w:rsidR="00715758" w:rsidRPr="00583795" w:rsidRDefault="00715758" w:rsidP="0079606D">
      <w:pPr>
        <w:numPr>
          <w:ilvl w:val="0"/>
          <w:numId w:val="8"/>
        </w:numPr>
        <w:shd w:val="clear" w:color="auto" w:fill="FFFFFF"/>
        <w:tabs>
          <w:tab w:val="left" w:pos="142"/>
        </w:tabs>
        <w:suppressAutoHyphens w:val="0"/>
        <w:autoSpaceDN/>
        <w:spacing w:after="0" w:line="240" w:lineRule="auto"/>
        <w:ind w:left="425" w:hanging="425"/>
        <w:jc w:val="both"/>
        <w:rPr>
          <w:rFonts w:ascii="Lora" w:hAnsi="Lora"/>
          <w:color w:val="201F1E"/>
          <w:sz w:val="24"/>
          <w:szCs w:val="24"/>
          <w:lang w:eastAsia="sk-SK"/>
        </w:rPr>
      </w:pP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Spoločenská kritika marketingu (zavádzajúca cena a</w:t>
      </w:r>
      <w:r w:rsidRPr="0058379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 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jej tvorba, zav</w:t>
      </w:r>
      <w:r w:rsidRPr="00583795">
        <w:rPr>
          <w:rFonts w:ascii="Lora" w:hAnsi="Lora" w:cs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á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dzaj</w:t>
      </w:r>
      <w:r w:rsidRPr="00583795">
        <w:rPr>
          <w:rFonts w:ascii="Lora" w:hAnsi="Lora" w:cs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ú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ca komunik</w:t>
      </w:r>
      <w:r w:rsidRPr="00583795">
        <w:rPr>
          <w:rFonts w:ascii="Lora" w:hAnsi="Lora" w:cs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á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cia, zav</w:t>
      </w:r>
      <w:r w:rsidRPr="00583795">
        <w:rPr>
          <w:rFonts w:ascii="Lora" w:hAnsi="Lora" w:cs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á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dzaj</w:t>
      </w:r>
      <w:r w:rsidRPr="00583795">
        <w:rPr>
          <w:rFonts w:ascii="Lora" w:hAnsi="Lora" w:cs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ú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ce balenie,</w:t>
      </w:r>
      <w:r w:rsidRPr="00583795">
        <w:rPr>
          <w:rFonts w:ascii="Lora" w:hAnsi="Lora" w:cs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 </w:t>
      </w:r>
      <w:proofErr w:type="spellStart"/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konzumerizmus</w:t>
      </w:r>
      <w:proofErr w:type="spellEnd"/>
      <w:r w:rsidRPr="00583795">
        <w:rPr>
          <w:rFonts w:ascii="Lora" w:hAnsi="Lora" w:cs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 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/vznik, defin</w:t>
      </w:r>
      <w:r w:rsidRPr="00583795">
        <w:rPr>
          <w:rFonts w:ascii="Lora" w:hAnsi="Lora" w:cs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í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cia, z</w:t>
      </w:r>
      <w:r w:rsidRPr="00583795">
        <w:rPr>
          <w:rFonts w:ascii="Lora" w:hAnsi="Lora" w:cs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á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kladn</w:t>
      </w:r>
      <w:r w:rsidRPr="00583795">
        <w:rPr>
          <w:rFonts w:ascii="Lora" w:hAnsi="Lora" w:cs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é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 xml:space="preserve"> pr</w:t>
      </w:r>
      <w:r w:rsidRPr="00583795">
        <w:rPr>
          <w:rFonts w:ascii="Lora" w:hAnsi="Lora" w:cs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á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va spotrebite</w:t>
      </w:r>
      <w:r w:rsidRPr="00583795">
        <w:rPr>
          <w:rFonts w:ascii="Lora" w:hAnsi="Lora" w:cs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ľ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ov/).</w:t>
      </w:r>
    </w:p>
    <w:p w14:paraId="20CFD2CD" w14:textId="77777777" w:rsidR="00715758" w:rsidRPr="00583795" w:rsidRDefault="00715758" w:rsidP="0079606D">
      <w:pPr>
        <w:numPr>
          <w:ilvl w:val="0"/>
          <w:numId w:val="8"/>
        </w:numPr>
        <w:shd w:val="clear" w:color="auto" w:fill="FFFFFF"/>
        <w:tabs>
          <w:tab w:val="left" w:pos="142"/>
        </w:tabs>
        <w:suppressAutoHyphens w:val="0"/>
        <w:autoSpaceDN/>
        <w:spacing w:after="0" w:line="240" w:lineRule="auto"/>
        <w:ind w:left="425" w:hanging="425"/>
        <w:jc w:val="both"/>
        <w:rPr>
          <w:rFonts w:ascii="Lora" w:hAnsi="Lora"/>
          <w:color w:val="201F1E"/>
          <w:sz w:val="24"/>
          <w:szCs w:val="24"/>
          <w:lang w:eastAsia="sk-SK"/>
        </w:rPr>
      </w:pPr>
      <w:proofErr w:type="spellStart"/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Mikroprostredie</w:t>
      </w:r>
      <w:proofErr w:type="spellEnd"/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 xml:space="preserve"> a makroprostredie podniku (členenie a</w:t>
      </w:r>
      <w:r w:rsidRPr="0058379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 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kto ho tvor</w:t>
      </w:r>
      <w:r w:rsidRPr="00583795">
        <w:rPr>
          <w:rFonts w:ascii="Lora" w:hAnsi="Lora" w:cs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í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, trhy).</w:t>
      </w:r>
    </w:p>
    <w:p w14:paraId="5FD6C768" w14:textId="77777777" w:rsidR="00715758" w:rsidRPr="00583795" w:rsidRDefault="00715758" w:rsidP="0079606D">
      <w:pPr>
        <w:numPr>
          <w:ilvl w:val="0"/>
          <w:numId w:val="8"/>
        </w:numPr>
        <w:shd w:val="clear" w:color="auto" w:fill="FFFFFF"/>
        <w:tabs>
          <w:tab w:val="left" w:pos="142"/>
        </w:tabs>
        <w:suppressAutoHyphens w:val="0"/>
        <w:autoSpaceDN/>
        <w:spacing w:after="0" w:line="240" w:lineRule="auto"/>
        <w:ind w:left="425" w:hanging="425"/>
        <w:jc w:val="both"/>
        <w:rPr>
          <w:rFonts w:ascii="Lora" w:hAnsi="Lora"/>
          <w:color w:val="201F1E"/>
          <w:sz w:val="24"/>
          <w:szCs w:val="24"/>
          <w:lang w:eastAsia="sk-SK"/>
        </w:rPr>
      </w:pP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Marketingový informačný systém (definícia, zdroje, fungovanie).</w:t>
      </w:r>
    </w:p>
    <w:p w14:paraId="4DACBED1" w14:textId="77777777" w:rsidR="00715758" w:rsidRPr="00583795" w:rsidRDefault="00715758" w:rsidP="0079606D">
      <w:pPr>
        <w:numPr>
          <w:ilvl w:val="0"/>
          <w:numId w:val="8"/>
        </w:numPr>
        <w:shd w:val="clear" w:color="auto" w:fill="FFFFFF"/>
        <w:tabs>
          <w:tab w:val="left" w:pos="142"/>
        </w:tabs>
        <w:suppressAutoHyphens w:val="0"/>
        <w:autoSpaceDN/>
        <w:spacing w:after="0" w:line="240" w:lineRule="auto"/>
        <w:ind w:left="425" w:hanging="425"/>
        <w:jc w:val="both"/>
        <w:rPr>
          <w:rFonts w:ascii="Lora" w:hAnsi="Lora"/>
          <w:color w:val="201F1E"/>
          <w:sz w:val="24"/>
          <w:szCs w:val="24"/>
          <w:lang w:eastAsia="sk-SK"/>
        </w:rPr>
      </w:pP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Tvorba podnikateľského portfólia (definovať, BCG a</w:t>
      </w:r>
      <w:r w:rsidRPr="0058379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 </w:t>
      </w:r>
      <w:proofErr w:type="spellStart"/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Ansoffova</w:t>
      </w:r>
      <w:proofErr w:type="spellEnd"/>
      <w:r w:rsidRPr="00583795">
        <w:rPr>
          <w:rFonts w:ascii="Lora" w:hAnsi="Lora" w:cs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 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shd w:val="clear" w:color="auto" w:fill="FFFFFF"/>
          <w:lang w:eastAsia="sk-SK"/>
        </w:rPr>
        <w:t>matica). </w:t>
      </w:r>
    </w:p>
    <w:p w14:paraId="77213030" w14:textId="77777777" w:rsidR="00715758" w:rsidRPr="00583795" w:rsidRDefault="00715758" w:rsidP="0079606D">
      <w:pPr>
        <w:numPr>
          <w:ilvl w:val="0"/>
          <w:numId w:val="8"/>
        </w:numPr>
        <w:shd w:val="clear" w:color="auto" w:fill="FFFFFF"/>
        <w:tabs>
          <w:tab w:val="left" w:pos="142"/>
        </w:tabs>
        <w:suppressAutoHyphens w:val="0"/>
        <w:autoSpaceDN/>
        <w:spacing w:after="0" w:line="240" w:lineRule="auto"/>
        <w:ind w:left="425" w:hanging="425"/>
        <w:jc w:val="both"/>
        <w:rPr>
          <w:rFonts w:ascii="Lora" w:hAnsi="Lora"/>
          <w:color w:val="201F1E"/>
          <w:sz w:val="24"/>
          <w:szCs w:val="24"/>
          <w:lang w:eastAsia="sk-SK"/>
        </w:rPr>
      </w:pPr>
      <w:r w:rsidRPr="00583795">
        <w:rPr>
          <w:rFonts w:ascii="Lora" w:hAnsi="Lora"/>
          <w:color w:val="201F1E"/>
          <w:sz w:val="24"/>
          <w:szCs w:val="24"/>
          <w:bdr w:val="none" w:sz="0" w:space="0" w:color="auto" w:frame="1"/>
          <w:lang w:eastAsia="sk-SK"/>
        </w:rPr>
        <w:t>Klasický distribučný systém a vertikálny marketingový systém (definícia a organizácia distribučnej cesty VMS).</w:t>
      </w:r>
    </w:p>
    <w:p w14:paraId="4F42A097" w14:textId="77777777" w:rsidR="00715758" w:rsidRPr="00583795" w:rsidRDefault="00715758" w:rsidP="0079606D">
      <w:pPr>
        <w:numPr>
          <w:ilvl w:val="0"/>
          <w:numId w:val="8"/>
        </w:numPr>
        <w:shd w:val="clear" w:color="auto" w:fill="FFFFFF"/>
        <w:tabs>
          <w:tab w:val="left" w:pos="142"/>
        </w:tabs>
        <w:suppressAutoHyphens w:val="0"/>
        <w:autoSpaceDN/>
        <w:spacing w:after="0" w:line="240" w:lineRule="auto"/>
        <w:ind w:left="425" w:hanging="425"/>
        <w:jc w:val="both"/>
        <w:rPr>
          <w:rFonts w:ascii="Lora" w:hAnsi="Lora"/>
          <w:color w:val="201F1E"/>
          <w:sz w:val="24"/>
          <w:szCs w:val="24"/>
          <w:lang w:eastAsia="sk-SK"/>
        </w:rPr>
      </w:pPr>
      <w:r w:rsidRPr="00583795">
        <w:rPr>
          <w:rFonts w:ascii="Lora" w:hAnsi="Lora"/>
          <w:color w:val="201F1E"/>
          <w:sz w:val="24"/>
          <w:szCs w:val="24"/>
          <w:bdr w:val="none" w:sz="0" w:space="0" w:color="auto" w:frame="1"/>
          <w:lang w:eastAsia="sk-SK"/>
        </w:rPr>
        <w:t>Nástroje marketingu - marketingový mix (definovanie a základné rozdelenie).</w:t>
      </w:r>
    </w:p>
    <w:p w14:paraId="4A17A423" w14:textId="540B727E" w:rsidR="00715758" w:rsidRPr="00583795" w:rsidRDefault="00715758" w:rsidP="0079606D">
      <w:pPr>
        <w:numPr>
          <w:ilvl w:val="0"/>
          <w:numId w:val="8"/>
        </w:numPr>
        <w:shd w:val="clear" w:color="auto" w:fill="FFFFFF"/>
        <w:tabs>
          <w:tab w:val="left" w:pos="142"/>
        </w:tabs>
        <w:suppressAutoHyphens w:val="0"/>
        <w:autoSpaceDN/>
        <w:spacing w:after="0" w:line="240" w:lineRule="auto"/>
        <w:ind w:left="425" w:hanging="425"/>
        <w:jc w:val="both"/>
        <w:rPr>
          <w:rFonts w:ascii="Lora" w:hAnsi="Lora"/>
          <w:color w:val="201F1E"/>
          <w:sz w:val="24"/>
          <w:szCs w:val="24"/>
          <w:lang w:eastAsia="sk-SK"/>
        </w:rPr>
      </w:pPr>
      <w:r w:rsidRPr="00583795">
        <w:rPr>
          <w:rFonts w:ascii="Lora" w:hAnsi="Lora"/>
          <w:color w:val="201F1E"/>
          <w:sz w:val="24"/>
          <w:szCs w:val="24"/>
          <w:bdr w:val="none" w:sz="0" w:space="0" w:color="auto" w:frame="1"/>
          <w:lang w:eastAsia="sk-SK"/>
        </w:rPr>
        <w:t>Medzinárodný marketing (podstata a rozhodnutia v medzinárodnom marketingu).</w:t>
      </w:r>
    </w:p>
    <w:p w14:paraId="0800A00B" w14:textId="77777777" w:rsidR="00715758" w:rsidRPr="00583795" w:rsidRDefault="00715758" w:rsidP="0079606D">
      <w:pPr>
        <w:numPr>
          <w:ilvl w:val="0"/>
          <w:numId w:val="8"/>
        </w:numPr>
        <w:shd w:val="clear" w:color="auto" w:fill="FFFFFF"/>
        <w:tabs>
          <w:tab w:val="left" w:pos="142"/>
        </w:tabs>
        <w:suppressAutoHyphens w:val="0"/>
        <w:autoSpaceDN/>
        <w:spacing w:after="0" w:line="240" w:lineRule="auto"/>
        <w:ind w:left="425" w:hanging="425"/>
        <w:jc w:val="both"/>
        <w:rPr>
          <w:rFonts w:ascii="Lora" w:hAnsi="Lora"/>
          <w:color w:val="201F1E"/>
          <w:sz w:val="24"/>
          <w:szCs w:val="24"/>
          <w:lang w:eastAsia="sk-SK"/>
        </w:rPr>
      </w:pPr>
      <w:r w:rsidRPr="00583795">
        <w:rPr>
          <w:rFonts w:ascii="Lora" w:hAnsi="Lora"/>
          <w:color w:val="201F1E"/>
          <w:sz w:val="24"/>
          <w:szCs w:val="24"/>
          <w:bdr w:val="none" w:sz="0" w:space="0" w:color="auto" w:frame="1"/>
          <w:lang w:eastAsia="sk-SK"/>
        </w:rPr>
        <w:t>Konkurencia a marketing (analýza konkurencie a tvorba konkurenčnej výhody, konkurenčná marketingová stratégia).</w:t>
      </w:r>
    </w:p>
    <w:p w14:paraId="1B088ADC" w14:textId="77777777" w:rsidR="00715758" w:rsidRPr="00583795" w:rsidRDefault="00715758" w:rsidP="0079606D">
      <w:pPr>
        <w:numPr>
          <w:ilvl w:val="0"/>
          <w:numId w:val="8"/>
        </w:numPr>
        <w:shd w:val="clear" w:color="auto" w:fill="FFFFFF"/>
        <w:tabs>
          <w:tab w:val="left" w:pos="142"/>
        </w:tabs>
        <w:suppressAutoHyphens w:val="0"/>
        <w:autoSpaceDN/>
        <w:spacing w:after="0" w:line="240" w:lineRule="auto"/>
        <w:ind w:left="425" w:hanging="425"/>
        <w:jc w:val="both"/>
        <w:rPr>
          <w:rFonts w:ascii="Lora" w:hAnsi="Lora"/>
          <w:color w:val="000000"/>
          <w:lang w:eastAsia="sk-SK"/>
        </w:rPr>
      </w:pP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lang w:eastAsia="sk-SK"/>
        </w:rPr>
        <w:t>Spoločenská a masová komunikácia (definícia a vývoj, komunikačná filozofia, a druhy komunikácie, verbálna a neverbálna komunikácia).</w:t>
      </w:r>
    </w:p>
    <w:p w14:paraId="6C1404FB" w14:textId="77777777" w:rsidR="0079606D" w:rsidRPr="0079606D" w:rsidRDefault="0079606D" w:rsidP="0079606D">
      <w:pPr>
        <w:shd w:val="clear" w:color="auto" w:fill="FFFFFF"/>
        <w:tabs>
          <w:tab w:val="left" w:pos="142"/>
        </w:tabs>
        <w:suppressAutoHyphens w:val="0"/>
        <w:autoSpaceDN/>
        <w:spacing w:after="0" w:line="240" w:lineRule="auto"/>
        <w:ind w:left="425"/>
        <w:jc w:val="both"/>
        <w:rPr>
          <w:rFonts w:ascii="Lora" w:hAnsi="Lora"/>
          <w:color w:val="000000"/>
          <w:lang w:eastAsia="sk-SK"/>
        </w:rPr>
      </w:pPr>
    </w:p>
    <w:p w14:paraId="19534FF2" w14:textId="77777777" w:rsidR="0079606D" w:rsidRPr="0079606D" w:rsidRDefault="0079606D" w:rsidP="0079606D">
      <w:pPr>
        <w:shd w:val="clear" w:color="auto" w:fill="FFFFFF"/>
        <w:tabs>
          <w:tab w:val="left" w:pos="142"/>
        </w:tabs>
        <w:suppressAutoHyphens w:val="0"/>
        <w:autoSpaceDN/>
        <w:spacing w:after="0" w:line="240" w:lineRule="auto"/>
        <w:ind w:left="425"/>
        <w:jc w:val="both"/>
        <w:rPr>
          <w:rFonts w:ascii="Lora" w:hAnsi="Lora"/>
          <w:color w:val="000000"/>
          <w:lang w:eastAsia="sk-SK"/>
        </w:rPr>
      </w:pPr>
    </w:p>
    <w:p w14:paraId="176AD78F" w14:textId="78DC56B9" w:rsidR="0079606D" w:rsidRDefault="0079606D" w:rsidP="0079606D">
      <w:pPr>
        <w:shd w:val="clear" w:color="auto" w:fill="FFFFFF"/>
        <w:tabs>
          <w:tab w:val="left" w:pos="142"/>
        </w:tabs>
        <w:suppressAutoHyphens w:val="0"/>
        <w:autoSpaceDN/>
        <w:spacing w:after="0" w:line="240" w:lineRule="auto"/>
        <w:ind w:left="425"/>
        <w:jc w:val="both"/>
        <w:rPr>
          <w:rFonts w:ascii="Lora" w:hAnsi="Lora"/>
          <w:color w:val="000000"/>
          <w:lang w:eastAsia="sk-SK"/>
        </w:rPr>
      </w:pPr>
    </w:p>
    <w:p w14:paraId="37F7E5E0" w14:textId="3C3AA727" w:rsidR="0079606D" w:rsidRDefault="0079606D" w:rsidP="0079606D">
      <w:pPr>
        <w:shd w:val="clear" w:color="auto" w:fill="FFFFFF"/>
        <w:tabs>
          <w:tab w:val="left" w:pos="142"/>
        </w:tabs>
        <w:suppressAutoHyphens w:val="0"/>
        <w:autoSpaceDN/>
        <w:spacing w:after="0" w:line="240" w:lineRule="auto"/>
        <w:ind w:left="425"/>
        <w:jc w:val="both"/>
        <w:rPr>
          <w:rFonts w:ascii="Lora" w:hAnsi="Lora"/>
          <w:color w:val="000000"/>
          <w:lang w:eastAsia="sk-SK"/>
        </w:rPr>
      </w:pPr>
    </w:p>
    <w:p w14:paraId="312B68C6" w14:textId="77777777" w:rsidR="0079606D" w:rsidRPr="0079606D" w:rsidRDefault="0079606D" w:rsidP="0079606D">
      <w:pPr>
        <w:shd w:val="clear" w:color="auto" w:fill="FFFFFF"/>
        <w:tabs>
          <w:tab w:val="left" w:pos="142"/>
        </w:tabs>
        <w:suppressAutoHyphens w:val="0"/>
        <w:autoSpaceDN/>
        <w:spacing w:after="0" w:line="240" w:lineRule="auto"/>
        <w:ind w:left="425"/>
        <w:jc w:val="both"/>
        <w:rPr>
          <w:rFonts w:ascii="Lora" w:hAnsi="Lora"/>
          <w:color w:val="000000"/>
          <w:lang w:eastAsia="sk-SK"/>
        </w:rPr>
      </w:pPr>
    </w:p>
    <w:p w14:paraId="31C3CAA0" w14:textId="2C2EB88E" w:rsidR="00715758" w:rsidRPr="00583795" w:rsidRDefault="00715758" w:rsidP="0079606D">
      <w:pPr>
        <w:numPr>
          <w:ilvl w:val="0"/>
          <w:numId w:val="8"/>
        </w:numPr>
        <w:shd w:val="clear" w:color="auto" w:fill="FFFFFF"/>
        <w:tabs>
          <w:tab w:val="left" w:pos="142"/>
        </w:tabs>
        <w:suppressAutoHyphens w:val="0"/>
        <w:autoSpaceDN/>
        <w:spacing w:after="0" w:line="240" w:lineRule="auto"/>
        <w:ind w:left="425" w:hanging="425"/>
        <w:jc w:val="both"/>
        <w:rPr>
          <w:rFonts w:ascii="Lora" w:hAnsi="Lora"/>
          <w:color w:val="000000"/>
          <w:lang w:eastAsia="sk-SK"/>
        </w:rPr>
      </w:pP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lang w:eastAsia="sk-SK"/>
        </w:rPr>
        <w:t>Komunikačný reťazec (komunikačný akt a komunikačný proces, šum).</w:t>
      </w:r>
    </w:p>
    <w:p w14:paraId="3F413883" w14:textId="77777777" w:rsidR="00715758" w:rsidRPr="00583795" w:rsidRDefault="00715758" w:rsidP="0079606D">
      <w:pPr>
        <w:numPr>
          <w:ilvl w:val="0"/>
          <w:numId w:val="8"/>
        </w:numPr>
        <w:shd w:val="clear" w:color="auto" w:fill="FFFFFF"/>
        <w:tabs>
          <w:tab w:val="left" w:pos="142"/>
        </w:tabs>
        <w:suppressAutoHyphens w:val="0"/>
        <w:autoSpaceDN/>
        <w:spacing w:after="0" w:line="240" w:lineRule="auto"/>
        <w:ind w:left="425" w:hanging="425"/>
        <w:jc w:val="both"/>
        <w:rPr>
          <w:rFonts w:ascii="Lora" w:hAnsi="Lora"/>
          <w:color w:val="000000"/>
          <w:lang w:eastAsia="sk-SK"/>
        </w:rPr>
      </w:pP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lang w:eastAsia="sk-SK"/>
        </w:rPr>
        <w:t>Publikum masmédií (klasifikácia masmédií, definícia publika, typy publika).</w:t>
      </w:r>
    </w:p>
    <w:p w14:paraId="4421D201" w14:textId="77777777" w:rsidR="00715758" w:rsidRPr="00583795" w:rsidRDefault="00715758" w:rsidP="0079606D">
      <w:pPr>
        <w:numPr>
          <w:ilvl w:val="0"/>
          <w:numId w:val="8"/>
        </w:numPr>
        <w:shd w:val="clear" w:color="auto" w:fill="FFFFFF"/>
        <w:tabs>
          <w:tab w:val="left" w:pos="142"/>
        </w:tabs>
        <w:suppressAutoHyphens w:val="0"/>
        <w:autoSpaceDN/>
        <w:spacing w:after="0" w:line="240" w:lineRule="auto"/>
        <w:ind w:left="425" w:hanging="425"/>
        <w:jc w:val="both"/>
        <w:rPr>
          <w:rFonts w:ascii="Lora" w:hAnsi="Lora"/>
          <w:color w:val="000000"/>
          <w:lang w:eastAsia="sk-SK"/>
        </w:rPr>
      </w:pP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lang w:eastAsia="sk-SK"/>
        </w:rPr>
        <w:t>Účinky masovej komunikácie (základné druhy a kategórie účinkov).</w:t>
      </w:r>
    </w:p>
    <w:p w14:paraId="60825717" w14:textId="77777777" w:rsidR="00715758" w:rsidRPr="00583795" w:rsidRDefault="00715758" w:rsidP="0079606D">
      <w:pPr>
        <w:numPr>
          <w:ilvl w:val="0"/>
          <w:numId w:val="8"/>
        </w:numPr>
        <w:shd w:val="clear" w:color="auto" w:fill="FFFFFF"/>
        <w:tabs>
          <w:tab w:val="left" w:pos="142"/>
        </w:tabs>
        <w:suppressAutoHyphens w:val="0"/>
        <w:autoSpaceDN/>
        <w:spacing w:after="0" w:line="240" w:lineRule="auto"/>
        <w:ind w:left="425" w:hanging="425"/>
        <w:jc w:val="both"/>
        <w:rPr>
          <w:rFonts w:ascii="Lora" w:hAnsi="Lora"/>
          <w:color w:val="000000"/>
          <w:lang w:eastAsia="sk-SK"/>
        </w:rPr>
      </w:pP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lang w:eastAsia="sk-SK"/>
        </w:rPr>
        <w:t>Globalizácia masmédií (globalizácia, špecializácia a</w:t>
      </w:r>
      <w:r w:rsidRPr="0058379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 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lang w:eastAsia="sk-SK"/>
        </w:rPr>
        <w:t>regionaliz</w:t>
      </w:r>
      <w:r w:rsidRPr="00583795">
        <w:rPr>
          <w:rFonts w:ascii="Lora" w:hAnsi="Lora" w:cs="Lora"/>
          <w:color w:val="000000"/>
          <w:sz w:val="24"/>
          <w:szCs w:val="24"/>
          <w:bdr w:val="none" w:sz="0" w:space="0" w:color="auto" w:frame="1"/>
          <w:lang w:eastAsia="sk-SK"/>
        </w:rPr>
        <w:t>á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lang w:eastAsia="sk-SK"/>
        </w:rPr>
        <w:t>cia masm</w:t>
      </w:r>
      <w:r w:rsidRPr="00583795">
        <w:rPr>
          <w:rFonts w:ascii="Lora" w:hAnsi="Lora" w:cs="Lora"/>
          <w:color w:val="000000"/>
          <w:sz w:val="24"/>
          <w:szCs w:val="24"/>
          <w:bdr w:val="none" w:sz="0" w:space="0" w:color="auto" w:frame="1"/>
          <w:lang w:eastAsia="sk-SK"/>
        </w:rPr>
        <w:t>é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lang w:eastAsia="sk-SK"/>
        </w:rPr>
        <w:t>di</w:t>
      </w:r>
      <w:r w:rsidRPr="00583795">
        <w:rPr>
          <w:rFonts w:ascii="Lora" w:hAnsi="Lora" w:cs="Lora"/>
          <w:color w:val="000000"/>
          <w:sz w:val="24"/>
          <w:szCs w:val="24"/>
          <w:bdr w:val="none" w:sz="0" w:space="0" w:color="auto" w:frame="1"/>
          <w:lang w:eastAsia="sk-SK"/>
        </w:rPr>
        <w:t>í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lang w:eastAsia="sk-SK"/>
        </w:rPr>
        <w:t>; koncentr</w:t>
      </w:r>
      <w:r w:rsidRPr="00583795">
        <w:rPr>
          <w:rFonts w:ascii="Lora" w:hAnsi="Lora" w:cs="Lora"/>
          <w:color w:val="000000"/>
          <w:sz w:val="24"/>
          <w:szCs w:val="24"/>
          <w:bdr w:val="none" w:sz="0" w:space="0" w:color="auto" w:frame="1"/>
          <w:lang w:eastAsia="sk-SK"/>
        </w:rPr>
        <w:t>á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lang w:eastAsia="sk-SK"/>
        </w:rPr>
        <w:t>cia vlastn</w:t>
      </w:r>
      <w:r w:rsidRPr="00583795">
        <w:rPr>
          <w:rFonts w:ascii="Lora" w:hAnsi="Lora" w:cs="Lora"/>
          <w:color w:val="000000"/>
          <w:sz w:val="24"/>
          <w:szCs w:val="24"/>
          <w:bdr w:val="none" w:sz="0" w:space="0" w:color="auto" w:frame="1"/>
          <w:lang w:eastAsia="sk-SK"/>
        </w:rPr>
        <w:t>í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lang w:eastAsia="sk-SK"/>
        </w:rPr>
        <w:t>ckych vz</w:t>
      </w:r>
      <w:r w:rsidRPr="00583795">
        <w:rPr>
          <w:rFonts w:ascii="Lora" w:hAnsi="Lora" w:cs="Lora"/>
          <w:color w:val="000000"/>
          <w:sz w:val="24"/>
          <w:szCs w:val="24"/>
          <w:bdr w:val="none" w:sz="0" w:space="0" w:color="auto" w:frame="1"/>
          <w:lang w:eastAsia="sk-SK"/>
        </w:rPr>
        <w:t>ť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lang w:eastAsia="sk-SK"/>
        </w:rPr>
        <w:t>ahov v</w:t>
      </w:r>
      <w:r w:rsidRPr="0058379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sk-SK"/>
        </w:rPr>
        <w:t> 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lang w:eastAsia="sk-SK"/>
        </w:rPr>
        <w:t>masm</w:t>
      </w:r>
      <w:r w:rsidRPr="00583795">
        <w:rPr>
          <w:rFonts w:ascii="Lora" w:hAnsi="Lora" w:cs="Lora"/>
          <w:color w:val="000000"/>
          <w:sz w:val="24"/>
          <w:szCs w:val="24"/>
          <w:bdr w:val="none" w:sz="0" w:space="0" w:color="auto" w:frame="1"/>
          <w:lang w:eastAsia="sk-SK"/>
        </w:rPr>
        <w:t>é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lang w:eastAsia="sk-SK"/>
        </w:rPr>
        <w:t>di</w:t>
      </w:r>
      <w:r w:rsidRPr="00583795">
        <w:rPr>
          <w:rFonts w:ascii="Lora" w:hAnsi="Lora" w:cs="Lora"/>
          <w:color w:val="000000"/>
          <w:sz w:val="24"/>
          <w:szCs w:val="24"/>
          <w:bdr w:val="none" w:sz="0" w:space="0" w:color="auto" w:frame="1"/>
          <w:lang w:eastAsia="sk-SK"/>
        </w:rPr>
        <w:t>á</w:t>
      </w:r>
      <w:r w:rsidRPr="00583795">
        <w:rPr>
          <w:rFonts w:ascii="Lora" w:hAnsi="Lora"/>
          <w:color w:val="000000"/>
          <w:sz w:val="24"/>
          <w:szCs w:val="24"/>
          <w:bdr w:val="none" w:sz="0" w:space="0" w:color="auto" w:frame="1"/>
          <w:lang w:eastAsia="sk-SK"/>
        </w:rPr>
        <w:t>ch).</w:t>
      </w:r>
    </w:p>
    <w:p w14:paraId="0353E853" w14:textId="77777777" w:rsidR="00715758" w:rsidRPr="00583795" w:rsidRDefault="00715758" w:rsidP="0079606D">
      <w:pPr>
        <w:pStyle w:val="Odsekzoznamu"/>
        <w:widowControl w:val="0"/>
        <w:numPr>
          <w:ilvl w:val="0"/>
          <w:numId w:val="8"/>
        </w:numPr>
        <w:tabs>
          <w:tab w:val="left" w:pos="142"/>
        </w:tabs>
        <w:autoSpaceDE w:val="0"/>
        <w:autoSpaceDN w:val="0"/>
        <w:spacing w:after="0" w:line="240" w:lineRule="auto"/>
        <w:ind w:left="425" w:hanging="425"/>
        <w:contextualSpacing w:val="0"/>
        <w:jc w:val="both"/>
        <w:rPr>
          <w:rFonts w:ascii="Lora" w:hAnsi="Lora"/>
          <w:sz w:val="24"/>
          <w:lang w:val="sk-SK"/>
        </w:rPr>
      </w:pPr>
      <w:r w:rsidRPr="00583795">
        <w:rPr>
          <w:rFonts w:ascii="Lora" w:hAnsi="Lora"/>
          <w:color w:val="201F1E"/>
          <w:sz w:val="24"/>
          <w:szCs w:val="24"/>
          <w:bdr w:val="none" w:sz="0" w:space="0" w:color="auto" w:frame="1"/>
          <w:lang w:val="sk-SK" w:eastAsia="sk-SK"/>
        </w:rPr>
        <w:t>Inovácie a identifikácia inovačného procesu aj s charakterizovaním jednotlivých krokov.</w:t>
      </w:r>
    </w:p>
    <w:p w14:paraId="633DB798" w14:textId="77777777" w:rsidR="00633163" w:rsidRDefault="00633163" w:rsidP="00633163">
      <w:pPr>
        <w:spacing w:after="0" w:line="240" w:lineRule="auto"/>
        <w:ind w:left="284" w:hanging="284"/>
        <w:jc w:val="both"/>
        <w:rPr>
          <w:rFonts w:ascii="Lora" w:hAnsi="Lora"/>
          <w:b/>
          <w:bCs/>
          <w:color w:val="FF0000"/>
        </w:rPr>
      </w:pPr>
    </w:p>
    <w:sectPr w:rsidR="00633163">
      <w:headerReference w:type="default" r:id="rId10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9A863" w14:textId="77777777" w:rsidR="008029B1" w:rsidRDefault="008029B1">
      <w:pPr>
        <w:spacing w:after="0" w:line="240" w:lineRule="auto"/>
      </w:pPr>
      <w:r>
        <w:separator/>
      </w:r>
    </w:p>
  </w:endnote>
  <w:endnote w:type="continuationSeparator" w:id="0">
    <w:p w14:paraId="7014ED81" w14:textId="77777777" w:rsidR="008029B1" w:rsidRDefault="00802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45FAB1F-7144-4EC8-B22E-7CD2836F8F7F}"/>
    <w:embedBold r:id="rId2" w:fontKey="{297D3F73-BBAA-49D0-A606-3369BA4DBEA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D52110DB-06C5-4398-AA5E-FFB3F45E89BE}"/>
    <w:embedBold r:id="rId4" w:fontKey="{39EB0FDA-AD13-4DB8-B0C5-0AE87CC08B4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CCC5A6D-3989-4D2B-9B47-EA03B542F766}"/>
    <w:embedBold r:id="rId6" w:fontKey="{6A697F65-5A10-4079-BCB7-5B511BA528FA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7" w:fontKey="{E24D7876-FE79-4AC1-9A08-9D61A74773DB}"/>
    <w:embedBold r:id="rId8" w:fontKey="{2F949902-6D9A-4D41-AF23-30411D80CEF1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010B2C93-CF7B-4B68-9F92-8F152AB5E9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41C2E" w14:textId="77777777" w:rsidR="008029B1" w:rsidRDefault="008029B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B94A934" w14:textId="77777777" w:rsidR="008029B1" w:rsidRDefault="00802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8029B1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27589"/>
    <w:multiLevelType w:val="hybridMultilevel"/>
    <w:tmpl w:val="9E9427F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961D7"/>
    <w:multiLevelType w:val="hybridMultilevel"/>
    <w:tmpl w:val="A5DA1046"/>
    <w:lvl w:ilvl="0" w:tplc="A2A6575A">
      <w:start w:val="1"/>
      <w:numFmt w:val="decimal"/>
      <w:lvlText w:val="%1."/>
      <w:lvlJc w:val="left"/>
      <w:pPr>
        <w:ind w:left="571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sk-SK" w:eastAsia="en-US" w:bidi="ar-SA"/>
      </w:rPr>
    </w:lvl>
    <w:lvl w:ilvl="1" w:tplc="9D041CDE">
      <w:numFmt w:val="bullet"/>
      <w:lvlText w:val="•"/>
      <w:lvlJc w:val="left"/>
      <w:pPr>
        <w:ind w:left="1412" w:hanging="358"/>
      </w:pPr>
      <w:rPr>
        <w:rFonts w:hint="default"/>
        <w:lang w:val="sk-SK" w:eastAsia="en-US" w:bidi="ar-SA"/>
      </w:rPr>
    </w:lvl>
    <w:lvl w:ilvl="2" w:tplc="D56E9638">
      <w:numFmt w:val="bullet"/>
      <w:lvlText w:val="•"/>
      <w:lvlJc w:val="left"/>
      <w:pPr>
        <w:ind w:left="2245" w:hanging="358"/>
      </w:pPr>
      <w:rPr>
        <w:rFonts w:hint="default"/>
        <w:lang w:val="sk-SK" w:eastAsia="en-US" w:bidi="ar-SA"/>
      </w:rPr>
    </w:lvl>
    <w:lvl w:ilvl="3" w:tplc="4F549BE8">
      <w:numFmt w:val="bullet"/>
      <w:lvlText w:val="•"/>
      <w:lvlJc w:val="left"/>
      <w:pPr>
        <w:ind w:left="3077" w:hanging="358"/>
      </w:pPr>
      <w:rPr>
        <w:rFonts w:hint="default"/>
        <w:lang w:val="sk-SK" w:eastAsia="en-US" w:bidi="ar-SA"/>
      </w:rPr>
    </w:lvl>
    <w:lvl w:ilvl="4" w:tplc="BB4006F0">
      <w:numFmt w:val="bullet"/>
      <w:lvlText w:val="•"/>
      <w:lvlJc w:val="left"/>
      <w:pPr>
        <w:ind w:left="3910" w:hanging="358"/>
      </w:pPr>
      <w:rPr>
        <w:rFonts w:hint="default"/>
        <w:lang w:val="sk-SK" w:eastAsia="en-US" w:bidi="ar-SA"/>
      </w:rPr>
    </w:lvl>
    <w:lvl w:ilvl="5" w:tplc="A27E5FDE">
      <w:numFmt w:val="bullet"/>
      <w:lvlText w:val="•"/>
      <w:lvlJc w:val="left"/>
      <w:pPr>
        <w:ind w:left="4743" w:hanging="358"/>
      </w:pPr>
      <w:rPr>
        <w:rFonts w:hint="default"/>
        <w:lang w:val="sk-SK" w:eastAsia="en-US" w:bidi="ar-SA"/>
      </w:rPr>
    </w:lvl>
    <w:lvl w:ilvl="6" w:tplc="2758C218">
      <w:numFmt w:val="bullet"/>
      <w:lvlText w:val="•"/>
      <w:lvlJc w:val="left"/>
      <w:pPr>
        <w:ind w:left="5575" w:hanging="358"/>
      </w:pPr>
      <w:rPr>
        <w:rFonts w:hint="default"/>
        <w:lang w:val="sk-SK" w:eastAsia="en-US" w:bidi="ar-SA"/>
      </w:rPr>
    </w:lvl>
    <w:lvl w:ilvl="7" w:tplc="A3CC47C2">
      <w:numFmt w:val="bullet"/>
      <w:lvlText w:val="•"/>
      <w:lvlJc w:val="left"/>
      <w:pPr>
        <w:ind w:left="6408" w:hanging="358"/>
      </w:pPr>
      <w:rPr>
        <w:rFonts w:hint="default"/>
        <w:lang w:val="sk-SK" w:eastAsia="en-US" w:bidi="ar-SA"/>
      </w:rPr>
    </w:lvl>
    <w:lvl w:ilvl="8" w:tplc="31866BE8">
      <w:numFmt w:val="bullet"/>
      <w:lvlText w:val="•"/>
      <w:lvlJc w:val="left"/>
      <w:pPr>
        <w:ind w:left="7241" w:hanging="358"/>
      </w:pPr>
      <w:rPr>
        <w:rFonts w:hint="default"/>
        <w:lang w:val="sk-SK" w:eastAsia="en-US" w:bidi="ar-SA"/>
      </w:rPr>
    </w:lvl>
  </w:abstractNum>
  <w:abstractNum w:abstractNumId="2" w15:restartNumberingAfterBreak="0">
    <w:nsid w:val="0A046C6A"/>
    <w:multiLevelType w:val="hybridMultilevel"/>
    <w:tmpl w:val="5C62A7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43251C"/>
    <w:multiLevelType w:val="hybridMultilevel"/>
    <w:tmpl w:val="C814321A"/>
    <w:lvl w:ilvl="0" w:tplc="9230E41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8339A2"/>
    <w:multiLevelType w:val="hybridMultilevel"/>
    <w:tmpl w:val="A6AC7DF0"/>
    <w:lvl w:ilvl="0" w:tplc="F05EDBB2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A75169"/>
    <w:multiLevelType w:val="hybridMultilevel"/>
    <w:tmpl w:val="474A32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8D5750"/>
    <w:multiLevelType w:val="hybridMultilevel"/>
    <w:tmpl w:val="26E2F44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5E7645"/>
    <w:multiLevelType w:val="hybridMultilevel"/>
    <w:tmpl w:val="0482402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0379384">
    <w:abstractNumId w:val="7"/>
  </w:num>
  <w:num w:numId="2" w16cid:durableId="1867401580">
    <w:abstractNumId w:val="4"/>
  </w:num>
  <w:num w:numId="3" w16cid:durableId="1625696762">
    <w:abstractNumId w:val="5"/>
  </w:num>
  <w:num w:numId="4" w16cid:durableId="1837725182">
    <w:abstractNumId w:val="6"/>
  </w:num>
  <w:num w:numId="5" w16cid:durableId="346568340">
    <w:abstractNumId w:val="3"/>
  </w:num>
  <w:num w:numId="6" w16cid:durableId="1737124391">
    <w:abstractNumId w:val="2"/>
  </w:num>
  <w:num w:numId="7" w16cid:durableId="1492867151">
    <w:abstractNumId w:val="0"/>
  </w:num>
  <w:num w:numId="8" w16cid:durableId="6131712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419ED"/>
    <w:rsid w:val="0004340D"/>
    <w:rsid w:val="00053094"/>
    <w:rsid w:val="000C5CE6"/>
    <w:rsid w:val="00183505"/>
    <w:rsid w:val="001B3DB9"/>
    <w:rsid w:val="00224E75"/>
    <w:rsid w:val="002D4886"/>
    <w:rsid w:val="003C1F63"/>
    <w:rsid w:val="00423295"/>
    <w:rsid w:val="004A6E18"/>
    <w:rsid w:val="00554E23"/>
    <w:rsid w:val="00583795"/>
    <w:rsid w:val="005B74E4"/>
    <w:rsid w:val="00633163"/>
    <w:rsid w:val="006A0297"/>
    <w:rsid w:val="00715758"/>
    <w:rsid w:val="00722B50"/>
    <w:rsid w:val="0079606D"/>
    <w:rsid w:val="008029B1"/>
    <w:rsid w:val="0089004E"/>
    <w:rsid w:val="008C23B0"/>
    <w:rsid w:val="009273AB"/>
    <w:rsid w:val="009D5515"/>
    <w:rsid w:val="00A41420"/>
    <w:rsid w:val="00A44F1B"/>
    <w:rsid w:val="00A54C8E"/>
    <w:rsid w:val="00A774C6"/>
    <w:rsid w:val="00A95E1E"/>
    <w:rsid w:val="00A9781D"/>
    <w:rsid w:val="00BA6770"/>
    <w:rsid w:val="00BD65E9"/>
    <w:rsid w:val="00D06E66"/>
    <w:rsid w:val="00DE3C55"/>
    <w:rsid w:val="00E07FF0"/>
    <w:rsid w:val="00EA07C0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633163"/>
    <w:pPr>
      <w:suppressAutoHyphens w:val="0"/>
      <w:autoSpaceDN/>
      <w:spacing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customStyle="1" w:styleId="Odsekzoznamu1">
    <w:name w:val="Odsek zoznamu1"/>
    <w:basedOn w:val="Normlny"/>
    <w:uiPriority w:val="34"/>
    <w:qFormat/>
    <w:rsid w:val="0063316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GALFYOVÁ, Simona</cp:lastModifiedBy>
  <cp:revision>2</cp:revision>
  <dcterms:created xsi:type="dcterms:W3CDTF">2022-04-22T08:01:00Z</dcterms:created>
  <dcterms:modified xsi:type="dcterms:W3CDTF">2022-04-22T08:01:00Z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