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4B3D573" w:rsidR="006A0297" w:rsidRDefault="006A0297">
      <w:pPr>
        <w:rPr>
          <w:rFonts w:ascii="Lora" w:hAnsi="Lora"/>
        </w:rPr>
      </w:pPr>
    </w:p>
    <w:p w14:paraId="021048EA" w14:textId="45C9EBF6" w:rsidR="00633163" w:rsidRDefault="00633163">
      <w:pPr>
        <w:rPr>
          <w:rFonts w:ascii="Lora" w:hAnsi="Lora"/>
        </w:rPr>
      </w:pPr>
    </w:p>
    <w:p w14:paraId="7FBBD4C3" w14:textId="77777777" w:rsidR="00665DF4" w:rsidRPr="00665DF4" w:rsidRDefault="00665DF4" w:rsidP="00665DF4">
      <w:pPr>
        <w:jc w:val="center"/>
        <w:rPr>
          <w:rFonts w:ascii="Lora" w:hAnsi="Lora"/>
          <w:b/>
          <w:sz w:val="24"/>
          <w:szCs w:val="24"/>
        </w:rPr>
      </w:pPr>
      <w:r w:rsidRPr="00665DF4">
        <w:rPr>
          <w:rFonts w:ascii="Lora" w:hAnsi="Lora"/>
          <w:b/>
          <w:sz w:val="24"/>
          <w:szCs w:val="24"/>
        </w:rPr>
        <w:t>Bakalárska štátna skúška</w:t>
      </w:r>
    </w:p>
    <w:p w14:paraId="63DE3194" w14:textId="77777777" w:rsidR="00665DF4" w:rsidRPr="00665DF4" w:rsidRDefault="00665DF4" w:rsidP="00665DF4">
      <w:pPr>
        <w:ind w:hanging="426"/>
        <w:jc w:val="center"/>
        <w:rPr>
          <w:rFonts w:ascii="Lora" w:hAnsi="Lora"/>
          <w:bCs/>
          <w:sz w:val="24"/>
          <w:szCs w:val="24"/>
        </w:rPr>
      </w:pPr>
      <w:r w:rsidRPr="00665DF4">
        <w:rPr>
          <w:rFonts w:ascii="Lora" w:hAnsi="Lora"/>
          <w:bCs/>
          <w:sz w:val="24"/>
          <w:szCs w:val="24"/>
        </w:rPr>
        <w:t xml:space="preserve">Študijný program: </w:t>
      </w:r>
      <w:r w:rsidRPr="00665DF4">
        <w:rPr>
          <w:rFonts w:ascii="Lora" w:hAnsi="Lora"/>
          <w:b/>
          <w:sz w:val="24"/>
          <w:szCs w:val="24"/>
        </w:rPr>
        <w:t>Komunikácia a marketing vo verejnej politike a verejnej správe</w:t>
      </w:r>
    </w:p>
    <w:p w14:paraId="5E20D49A" w14:textId="77777777" w:rsidR="00665DF4" w:rsidRPr="00665DF4" w:rsidRDefault="00665DF4" w:rsidP="00665DF4">
      <w:pPr>
        <w:jc w:val="center"/>
        <w:rPr>
          <w:rFonts w:ascii="Lora" w:hAnsi="Lora"/>
          <w:bCs/>
          <w:sz w:val="24"/>
          <w:szCs w:val="24"/>
        </w:rPr>
      </w:pPr>
      <w:r w:rsidRPr="00665DF4">
        <w:rPr>
          <w:rFonts w:ascii="Lora" w:hAnsi="Lora"/>
          <w:bCs/>
          <w:sz w:val="24"/>
          <w:szCs w:val="24"/>
        </w:rPr>
        <w:t xml:space="preserve">Predmet: </w:t>
      </w:r>
      <w:r w:rsidRPr="00665DF4">
        <w:rPr>
          <w:rFonts w:ascii="Lora" w:hAnsi="Lora"/>
          <w:b/>
          <w:sz w:val="24"/>
          <w:szCs w:val="24"/>
        </w:rPr>
        <w:t>Štátna skúška z verejnej správy</w:t>
      </w:r>
    </w:p>
    <w:p w14:paraId="2C890FFB" w14:textId="77777777" w:rsidR="00665DF4" w:rsidRPr="00665DF4" w:rsidRDefault="00665DF4" w:rsidP="00665DF4">
      <w:pPr>
        <w:jc w:val="center"/>
        <w:rPr>
          <w:rFonts w:ascii="Lora" w:hAnsi="Lora"/>
          <w:b/>
          <w:color w:val="FF0000"/>
          <w:sz w:val="24"/>
          <w:szCs w:val="24"/>
        </w:rPr>
      </w:pPr>
      <w:r w:rsidRPr="00665DF4">
        <w:rPr>
          <w:rFonts w:ascii="Lora" w:hAnsi="Lora"/>
          <w:b/>
          <w:color w:val="FF0000"/>
          <w:sz w:val="24"/>
          <w:szCs w:val="24"/>
        </w:rPr>
        <w:t>Platné od júna 2022</w:t>
      </w:r>
    </w:p>
    <w:p w14:paraId="5918D66D" w14:textId="77AD7F2D" w:rsidR="00665DF4" w:rsidRDefault="00665DF4" w:rsidP="00665DF4">
      <w:pPr>
        <w:jc w:val="center"/>
        <w:rPr>
          <w:rFonts w:ascii="Lora" w:hAnsi="Lora"/>
          <w:b/>
          <w:caps/>
          <w:sz w:val="28"/>
          <w:szCs w:val="28"/>
        </w:rPr>
      </w:pPr>
    </w:p>
    <w:p w14:paraId="28E70B1C" w14:textId="09A862C0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caps/>
          <w:sz w:val="24"/>
          <w:szCs w:val="24"/>
        </w:rPr>
        <w:t>1.</w:t>
      </w:r>
      <w:r w:rsidRPr="00490179">
        <w:rPr>
          <w:rFonts w:ascii="Lora" w:hAnsi="Lora"/>
          <w:bCs/>
          <w:caps/>
          <w:sz w:val="24"/>
          <w:szCs w:val="24"/>
        </w:rPr>
        <w:tab/>
      </w:r>
      <w:r w:rsidRPr="00490179">
        <w:rPr>
          <w:rFonts w:ascii="Lora" w:hAnsi="Lora"/>
          <w:bCs/>
          <w:sz w:val="24"/>
          <w:szCs w:val="24"/>
        </w:rPr>
        <w:t>Modely verejnej správy na území Slovenska v rokoch 1945 – 1989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42A20025" w14:textId="1BE11AF2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2.</w:t>
      </w:r>
      <w:r w:rsidRPr="00490179">
        <w:rPr>
          <w:rFonts w:ascii="Lora" w:hAnsi="Lora"/>
          <w:bCs/>
          <w:sz w:val="24"/>
          <w:szCs w:val="24"/>
        </w:rPr>
        <w:tab/>
        <w:t>Systém územnej samosprávy a aktéri verejnej politiky v krajinách V-4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79525E16" w14:textId="77777777" w:rsid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3.</w:t>
      </w:r>
      <w:r w:rsidRPr="00490179">
        <w:rPr>
          <w:rFonts w:ascii="Lora" w:hAnsi="Lora"/>
          <w:bCs/>
          <w:sz w:val="24"/>
          <w:szCs w:val="24"/>
        </w:rPr>
        <w:tab/>
        <w:t>Systém územnej samosprávy a aktéri verejnej politiky v Spojenom kráľovstve</w:t>
      </w:r>
    </w:p>
    <w:p w14:paraId="5BEC7683" w14:textId="25D37C6C" w:rsidR="00665DF4" w:rsidRPr="00490179" w:rsidRDefault="00490179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>
        <w:rPr>
          <w:rFonts w:ascii="Lora" w:hAnsi="Lora"/>
          <w:bCs/>
          <w:sz w:val="24"/>
          <w:szCs w:val="24"/>
        </w:rPr>
        <w:t xml:space="preserve">     </w:t>
      </w:r>
      <w:r w:rsidR="00665DF4" w:rsidRPr="00490179">
        <w:rPr>
          <w:rFonts w:ascii="Lora" w:hAnsi="Lora"/>
          <w:bCs/>
          <w:sz w:val="24"/>
          <w:szCs w:val="24"/>
        </w:rPr>
        <w:t xml:space="preserve"> </w:t>
      </w:r>
      <w:r>
        <w:rPr>
          <w:rFonts w:ascii="Lora" w:hAnsi="Lora"/>
          <w:bCs/>
          <w:sz w:val="24"/>
          <w:szCs w:val="24"/>
        </w:rPr>
        <w:t xml:space="preserve">     </w:t>
      </w:r>
      <w:r w:rsidR="00665DF4" w:rsidRPr="00490179">
        <w:rPr>
          <w:rFonts w:ascii="Lora" w:hAnsi="Lora"/>
          <w:bCs/>
          <w:sz w:val="24"/>
          <w:szCs w:val="24"/>
        </w:rPr>
        <w:t>Veľkej Británie a Severného Írska</w:t>
      </w:r>
      <w:r>
        <w:rPr>
          <w:rFonts w:ascii="Lora" w:hAnsi="Lora"/>
          <w:bCs/>
          <w:sz w:val="24"/>
          <w:szCs w:val="24"/>
        </w:rPr>
        <w:t>.</w:t>
      </w:r>
    </w:p>
    <w:p w14:paraId="198B6F16" w14:textId="10C7FE0F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4.</w:t>
      </w:r>
      <w:r w:rsidRPr="00490179">
        <w:rPr>
          <w:rFonts w:ascii="Lora" w:hAnsi="Lora"/>
          <w:bCs/>
          <w:sz w:val="24"/>
          <w:szCs w:val="24"/>
        </w:rPr>
        <w:tab/>
        <w:t>Systém územnej samosprávy a aktéri verejnej politiky v</w:t>
      </w:r>
      <w:r w:rsidR="00490179">
        <w:rPr>
          <w:rFonts w:ascii="Lora" w:hAnsi="Lora"/>
          <w:bCs/>
          <w:sz w:val="24"/>
          <w:szCs w:val="24"/>
        </w:rPr>
        <w:t> </w:t>
      </w:r>
      <w:r w:rsidRPr="00490179">
        <w:rPr>
          <w:rFonts w:ascii="Lora" w:hAnsi="Lora"/>
          <w:bCs/>
          <w:sz w:val="24"/>
          <w:szCs w:val="24"/>
        </w:rPr>
        <w:t>Nemecku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15315D43" w14:textId="636A4510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5.</w:t>
      </w:r>
      <w:r w:rsidRPr="00490179">
        <w:rPr>
          <w:rFonts w:ascii="Lora" w:hAnsi="Lora"/>
          <w:bCs/>
          <w:sz w:val="24"/>
          <w:szCs w:val="24"/>
        </w:rPr>
        <w:tab/>
        <w:t>Systém územnej samosprávy a aktéri verejnej politiky vo Francúzsku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21D384A5" w14:textId="615B4127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6.</w:t>
      </w:r>
      <w:r w:rsidRPr="00490179">
        <w:rPr>
          <w:rFonts w:ascii="Lora" w:hAnsi="Lora"/>
          <w:bCs/>
          <w:sz w:val="24"/>
          <w:szCs w:val="24"/>
        </w:rPr>
        <w:tab/>
        <w:t>Systém územnej samosprávy a aktéri verejnej politiky v</w:t>
      </w:r>
      <w:r w:rsidR="00490179">
        <w:rPr>
          <w:rFonts w:ascii="Lora" w:hAnsi="Lora"/>
          <w:bCs/>
          <w:sz w:val="24"/>
          <w:szCs w:val="24"/>
        </w:rPr>
        <w:t> </w:t>
      </w:r>
      <w:r w:rsidRPr="00490179">
        <w:rPr>
          <w:rFonts w:ascii="Lora" w:hAnsi="Lora"/>
          <w:bCs/>
          <w:sz w:val="24"/>
          <w:szCs w:val="24"/>
        </w:rPr>
        <w:t>Taliansku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4A947559" w14:textId="04DF4CD7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7.</w:t>
      </w:r>
      <w:r w:rsidRPr="00490179">
        <w:rPr>
          <w:rFonts w:ascii="Lora" w:hAnsi="Lora"/>
          <w:bCs/>
          <w:sz w:val="24"/>
          <w:szCs w:val="24"/>
        </w:rPr>
        <w:tab/>
        <w:t>Skutková podstata priestupku a jej znaky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3C66B525" w14:textId="05937527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8.</w:t>
      </w:r>
      <w:r w:rsidRPr="00490179">
        <w:rPr>
          <w:rFonts w:ascii="Lora" w:hAnsi="Lora"/>
          <w:bCs/>
          <w:sz w:val="24"/>
          <w:szCs w:val="24"/>
        </w:rPr>
        <w:tab/>
        <w:t>Priestupok - znaky, členenie, sankcie, zánik zodpovednosti a iné správne delikty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4B400FCD" w14:textId="0502109E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9.</w:t>
      </w:r>
      <w:r w:rsidRPr="00490179">
        <w:rPr>
          <w:rFonts w:ascii="Lora" w:hAnsi="Lora"/>
          <w:bCs/>
          <w:sz w:val="24"/>
          <w:szCs w:val="24"/>
        </w:rPr>
        <w:tab/>
        <w:t>Rozhodnutie správneho orgánu - klasifikácia, náležitosti, právne účinky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73AB109F" w14:textId="3B4440C2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10.</w:t>
      </w:r>
      <w:r w:rsidRPr="00490179">
        <w:rPr>
          <w:rFonts w:ascii="Lora" w:hAnsi="Lora"/>
          <w:bCs/>
          <w:sz w:val="24"/>
          <w:szCs w:val="24"/>
        </w:rPr>
        <w:tab/>
        <w:t>Správna exekúcia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04A9AC36" w14:textId="447537A1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11.</w:t>
      </w:r>
      <w:r w:rsidRPr="00490179">
        <w:rPr>
          <w:rFonts w:ascii="Lora" w:hAnsi="Lora"/>
          <w:bCs/>
          <w:sz w:val="24"/>
          <w:szCs w:val="24"/>
        </w:rPr>
        <w:tab/>
        <w:t>Vonkajšia kontrola vo verejnej správe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7C403E3F" w14:textId="5FE3FD91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12.</w:t>
      </w:r>
      <w:r w:rsidRPr="00490179">
        <w:rPr>
          <w:rFonts w:ascii="Lora" w:hAnsi="Lora"/>
          <w:bCs/>
          <w:sz w:val="24"/>
          <w:szCs w:val="24"/>
        </w:rPr>
        <w:tab/>
        <w:t>Správne konanie – zásady, subjekty, dokazovanie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0FCA12A8" w14:textId="77777777" w:rsid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13.</w:t>
      </w:r>
      <w:r w:rsidRPr="00490179">
        <w:rPr>
          <w:rFonts w:ascii="Lora" w:hAnsi="Lora"/>
          <w:bCs/>
          <w:sz w:val="24"/>
          <w:szCs w:val="24"/>
        </w:rPr>
        <w:tab/>
        <w:t>Teoretické vymedzenie verejnej správy (definícia verejnej správy, verejný záujem</w:t>
      </w:r>
    </w:p>
    <w:p w14:paraId="47A104A7" w14:textId="48839AF6" w:rsidR="00665DF4" w:rsidRPr="00490179" w:rsidRDefault="00490179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>
        <w:rPr>
          <w:rFonts w:ascii="Lora" w:hAnsi="Lora"/>
          <w:bCs/>
          <w:sz w:val="24"/>
          <w:szCs w:val="24"/>
        </w:rPr>
        <w:t xml:space="preserve">            </w:t>
      </w:r>
      <w:proofErr w:type="spellStart"/>
      <w:r w:rsidR="00665DF4" w:rsidRPr="00490179">
        <w:rPr>
          <w:rFonts w:ascii="Lora" w:hAnsi="Lora"/>
          <w:bCs/>
          <w:sz w:val="24"/>
          <w:szCs w:val="24"/>
        </w:rPr>
        <w:t>vs</w:t>
      </w:r>
      <w:proofErr w:type="spellEnd"/>
      <w:r w:rsidR="00665DF4" w:rsidRPr="00490179">
        <w:rPr>
          <w:rFonts w:ascii="Lora" w:hAnsi="Lora"/>
          <w:bCs/>
          <w:sz w:val="24"/>
          <w:szCs w:val="24"/>
        </w:rPr>
        <w:t>. súkromný záujem a príklady z praxe, verejná správa v systéme deľby moci)</w:t>
      </w:r>
      <w:r>
        <w:rPr>
          <w:rFonts w:ascii="Lora" w:hAnsi="Lora"/>
          <w:bCs/>
          <w:sz w:val="24"/>
          <w:szCs w:val="24"/>
        </w:rPr>
        <w:t>.</w:t>
      </w:r>
    </w:p>
    <w:p w14:paraId="073C47A0" w14:textId="2EC0EF04" w:rsidR="00665DF4" w:rsidRPr="00490179" w:rsidRDefault="00665DF4" w:rsidP="00EE46F4">
      <w:pPr>
        <w:spacing w:after="0" w:line="240" w:lineRule="auto"/>
        <w:ind w:left="709" w:hanging="709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14.</w:t>
      </w:r>
      <w:r w:rsidRPr="00490179">
        <w:rPr>
          <w:rFonts w:ascii="Lora" w:hAnsi="Lora"/>
          <w:bCs/>
          <w:sz w:val="24"/>
          <w:szCs w:val="24"/>
        </w:rPr>
        <w:tab/>
        <w:t>Charakteristika princípov výstavby štátnej správy a samosprávy (princíp</w:t>
      </w:r>
      <w:r w:rsidR="00490179">
        <w:rPr>
          <w:rFonts w:ascii="Lora" w:hAnsi="Lora"/>
          <w:bCs/>
          <w:sz w:val="24"/>
          <w:szCs w:val="24"/>
        </w:rPr>
        <w:t xml:space="preserve">             </w:t>
      </w:r>
      <w:r w:rsidRPr="00490179">
        <w:rPr>
          <w:rFonts w:ascii="Lora" w:hAnsi="Lora"/>
          <w:bCs/>
          <w:sz w:val="24"/>
          <w:szCs w:val="24"/>
        </w:rPr>
        <w:t>centralizácie a decentralizácie, územný a vecný princíp)</w:t>
      </w:r>
      <w:r w:rsidR="00490179">
        <w:rPr>
          <w:rFonts w:ascii="Lora" w:hAnsi="Lora"/>
          <w:bCs/>
          <w:sz w:val="24"/>
          <w:szCs w:val="24"/>
        </w:rPr>
        <w:t>.</w:t>
      </w:r>
    </w:p>
    <w:p w14:paraId="2E946725" w14:textId="66958235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15.</w:t>
      </w:r>
      <w:r w:rsidRPr="00490179">
        <w:rPr>
          <w:rFonts w:ascii="Lora" w:hAnsi="Lora"/>
          <w:bCs/>
          <w:sz w:val="24"/>
          <w:szCs w:val="24"/>
        </w:rPr>
        <w:tab/>
        <w:t>Teória a prax subsystémov verejnej správy na Slovensku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0E45BBC1" w14:textId="10B125EA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16.</w:t>
      </w:r>
      <w:r w:rsidRPr="00490179">
        <w:rPr>
          <w:rFonts w:ascii="Lora" w:hAnsi="Lora"/>
          <w:bCs/>
          <w:sz w:val="24"/>
          <w:szCs w:val="24"/>
        </w:rPr>
        <w:tab/>
        <w:t>Teória administratívneho štátu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24408F44" w14:textId="770842BE" w:rsidR="00665DF4" w:rsidRPr="00490179" w:rsidRDefault="00665DF4" w:rsidP="00490179">
      <w:pPr>
        <w:spacing w:after="0" w:line="240" w:lineRule="auto"/>
        <w:ind w:left="709" w:hanging="709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17.</w:t>
      </w:r>
      <w:r w:rsidRPr="00490179">
        <w:rPr>
          <w:rFonts w:ascii="Lora" w:hAnsi="Lora"/>
          <w:bCs/>
          <w:sz w:val="24"/>
          <w:szCs w:val="24"/>
        </w:rPr>
        <w:tab/>
        <w:t>Štátna správa a jej organizačná dimenzia (všeobecná charakteristika a špecifické črty štátnej správy, organizácia štátnej správy v SR, organizačná dimenzia štátnej správy na príklade vybraného orgánu štátnej správy v SR)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5BC4E75D" w14:textId="12F570D5" w:rsidR="00665DF4" w:rsidRPr="00490179" w:rsidRDefault="00665DF4" w:rsidP="00490179">
      <w:pPr>
        <w:spacing w:after="0" w:line="240" w:lineRule="auto"/>
        <w:ind w:left="709" w:hanging="709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18.</w:t>
      </w:r>
      <w:r w:rsidRPr="00490179">
        <w:rPr>
          <w:rFonts w:ascii="Lora" w:hAnsi="Lora"/>
          <w:bCs/>
          <w:sz w:val="24"/>
          <w:szCs w:val="24"/>
        </w:rPr>
        <w:tab/>
        <w:t>Voľby a volebný systém – komunálna úroveň a vyššie územné celky (predstavenie základných nastavení volieb, volebného práva a volebného systému</w:t>
      </w:r>
      <w:r w:rsidR="00EE46F4">
        <w:rPr>
          <w:rFonts w:ascii="Lora" w:hAnsi="Lora"/>
          <w:bCs/>
          <w:sz w:val="24"/>
          <w:szCs w:val="24"/>
        </w:rPr>
        <w:t>.</w:t>
      </w:r>
      <w:r w:rsidRPr="00490179">
        <w:rPr>
          <w:rFonts w:ascii="Lora" w:hAnsi="Lora"/>
          <w:bCs/>
          <w:sz w:val="24"/>
          <w:szCs w:val="24"/>
        </w:rPr>
        <w:t>)</w:t>
      </w:r>
    </w:p>
    <w:p w14:paraId="2BECB573" w14:textId="6CF64DF4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19.</w:t>
      </w:r>
      <w:r w:rsidRPr="00490179">
        <w:rPr>
          <w:rFonts w:ascii="Lora" w:hAnsi="Lora"/>
          <w:bCs/>
          <w:sz w:val="24"/>
          <w:szCs w:val="24"/>
        </w:rPr>
        <w:tab/>
        <w:t>Proces tvorby verejnej politiky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32F9CE60" w14:textId="40197AC8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20.</w:t>
      </w:r>
      <w:r w:rsidRPr="00490179">
        <w:rPr>
          <w:rFonts w:ascii="Lora" w:hAnsi="Lora"/>
          <w:bCs/>
          <w:sz w:val="24"/>
          <w:szCs w:val="24"/>
        </w:rPr>
        <w:tab/>
        <w:t>Politické siete aktérov verejnej politiky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346F0B4C" w14:textId="2C882F49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21.</w:t>
      </w:r>
      <w:r w:rsidRPr="00490179">
        <w:rPr>
          <w:rFonts w:ascii="Lora" w:hAnsi="Lora"/>
          <w:bCs/>
          <w:sz w:val="24"/>
          <w:szCs w:val="24"/>
        </w:rPr>
        <w:tab/>
        <w:t>Vláda SR ako aktér verejnej politiky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69B6ED91" w14:textId="47510EFF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22.</w:t>
      </w:r>
      <w:r w:rsidRPr="00490179">
        <w:rPr>
          <w:rFonts w:ascii="Lora" w:hAnsi="Lora"/>
          <w:bCs/>
          <w:sz w:val="24"/>
          <w:szCs w:val="24"/>
        </w:rPr>
        <w:tab/>
        <w:t>Prezident SR ako aktér verejnej politiky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2723C558" w14:textId="77777777" w:rsidR="00490179" w:rsidRDefault="00490179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</w:p>
    <w:p w14:paraId="6F86687B" w14:textId="77777777" w:rsidR="00490179" w:rsidRDefault="00490179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</w:p>
    <w:p w14:paraId="0151EA41" w14:textId="77777777" w:rsidR="00490179" w:rsidRDefault="00490179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</w:p>
    <w:p w14:paraId="5A50791E" w14:textId="77777777" w:rsidR="00EE46F4" w:rsidRDefault="00EE46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</w:p>
    <w:p w14:paraId="20B0534E" w14:textId="77777777" w:rsidR="00EE46F4" w:rsidRDefault="00EE46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</w:p>
    <w:p w14:paraId="56E23A31" w14:textId="77777777" w:rsidR="00EE46F4" w:rsidRDefault="00EE46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</w:p>
    <w:p w14:paraId="29C4CCB0" w14:textId="3FDF3BEC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23.</w:t>
      </w:r>
      <w:r w:rsidRPr="00490179">
        <w:rPr>
          <w:rFonts w:ascii="Lora" w:hAnsi="Lora"/>
          <w:bCs/>
          <w:sz w:val="24"/>
          <w:szCs w:val="24"/>
        </w:rPr>
        <w:tab/>
        <w:t>Národná rada SR ako aktér verejnej politiky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7DED3CD2" w14:textId="720AA991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24.</w:t>
      </w:r>
      <w:r w:rsidRPr="00490179">
        <w:rPr>
          <w:rFonts w:ascii="Lora" w:hAnsi="Lora"/>
          <w:bCs/>
          <w:sz w:val="24"/>
          <w:szCs w:val="24"/>
        </w:rPr>
        <w:tab/>
        <w:t>Súdna moc na Slovensku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11435009" w14:textId="15A09C53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25.</w:t>
      </w:r>
      <w:r w:rsidRPr="00490179">
        <w:rPr>
          <w:rFonts w:ascii="Lora" w:hAnsi="Lora"/>
          <w:bCs/>
          <w:sz w:val="24"/>
          <w:szCs w:val="24"/>
        </w:rPr>
        <w:tab/>
        <w:t>Ústavný súd SR – postavenie a</w:t>
      </w:r>
      <w:r w:rsidR="00EE46F4">
        <w:rPr>
          <w:rFonts w:ascii="Lora" w:hAnsi="Lora"/>
          <w:bCs/>
          <w:sz w:val="24"/>
          <w:szCs w:val="24"/>
        </w:rPr>
        <w:t> </w:t>
      </w:r>
      <w:r w:rsidRPr="00490179">
        <w:rPr>
          <w:rFonts w:ascii="Lora" w:hAnsi="Lora"/>
          <w:bCs/>
          <w:sz w:val="24"/>
          <w:szCs w:val="24"/>
        </w:rPr>
        <w:t>pôsobnosť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5E62139A" w14:textId="4D99EC40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26.</w:t>
      </w:r>
      <w:r w:rsidRPr="00490179">
        <w:rPr>
          <w:rFonts w:ascii="Lora" w:hAnsi="Lora"/>
          <w:bCs/>
          <w:sz w:val="24"/>
          <w:szCs w:val="24"/>
        </w:rPr>
        <w:tab/>
        <w:t>Aktéri verejnej politiky na lokálnej a regionálnej úrovni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7396ECD5" w14:textId="250933C2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27.</w:t>
      </w:r>
      <w:r w:rsidRPr="00490179">
        <w:rPr>
          <w:rFonts w:ascii="Lora" w:hAnsi="Lora"/>
          <w:bCs/>
          <w:sz w:val="24"/>
          <w:szCs w:val="24"/>
        </w:rPr>
        <w:tab/>
        <w:t>Nepolitickí aktéri verejnej politiky na celoštátnej úrovni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0008AB2F" w14:textId="6D137184" w:rsidR="00665DF4" w:rsidRPr="00490179" w:rsidRDefault="00665DF4" w:rsidP="00490179">
      <w:pPr>
        <w:spacing w:after="0" w:line="240" w:lineRule="auto"/>
        <w:ind w:left="709" w:hanging="709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28.</w:t>
      </w:r>
      <w:r w:rsidRPr="00490179">
        <w:rPr>
          <w:rFonts w:ascii="Lora" w:hAnsi="Lora"/>
          <w:bCs/>
          <w:sz w:val="24"/>
          <w:szCs w:val="24"/>
        </w:rPr>
        <w:tab/>
        <w:t>Referendum ako prostriedok tvorby verejnej politiky na lokálnej celoštátnej úrovni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679BCAAA" w14:textId="1DF6BF34" w:rsidR="00665DF4" w:rsidRPr="00490179" w:rsidRDefault="00665DF4" w:rsidP="00490179">
      <w:pPr>
        <w:spacing w:after="0" w:line="240" w:lineRule="auto"/>
        <w:jc w:val="both"/>
        <w:rPr>
          <w:rFonts w:ascii="Lora" w:hAnsi="Lora"/>
          <w:bCs/>
          <w:sz w:val="24"/>
          <w:szCs w:val="24"/>
        </w:rPr>
      </w:pPr>
      <w:r w:rsidRPr="00490179">
        <w:rPr>
          <w:rFonts w:ascii="Lora" w:hAnsi="Lora"/>
          <w:bCs/>
          <w:sz w:val="24"/>
          <w:szCs w:val="24"/>
        </w:rPr>
        <w:t>29.</w:t>
      </w:r>
      <w:r w:rsidRPr="00490179">
        <w:rPr>
          <w:rFonts w:ascii="Lora" w:hAnsi="Lora"/>
          <w:bCs/>
          <w:sz w:val="24"/>
          <w:szCs w:val="24"/>
        </w:rPr>
        <w:tab/>
        <w:t>Voľby a volebné systémy na lokálnej a regionálnej úrovni</w:t>
      </w:r>
      <w:r w:rsidR="00EE46F4">
        <w:rPr>
          <w:rFonts w:ascii="Lora" w:hAnsi="Lora"/>
          <w:bCs/>
          <w:sz w:val="24"/>
          <w:szCs w:val="24"/>
        </w:rPr>
        <w:t>.</w:t>
      </w:r>
    </w:p>
    <w:p w14:paraId="653A0133" w14:textId="1E11F73F" w:rsidR="00665DF4" w:rsidRDefault="00665DF4" w:rsidP="00490179">
      <w:pPr>
        <w:spacing w:after="0" w:line="240" w:lineRule="auto"/>
        <w:ind w:left="709" w:hanging="709"/>
        <w:jc w:val="both"/>
        <w:rPr>
          <w:rFonts w:ascii="Lora" w:hAnsi="Lora"/>
          <w:b/>
          <w:caps/>
          <w:sz w:val="28"/>
          <w:szCs w:val="28"/>
        </w:rPr>
      </w:pPr>
      <w:r w:rsidRPr="00490179">
        <w:rPr>
          <w:rFonts w:ascii="Lora" w:hAnsi="Lora"/>
          <w:bCs/>
          <w:sz w:val="24"/>
          <w:szCs w:val="24"/>
        </w:rPr>
        <w:t>30.</w:t>
      </w:r>
      <w:r w:rsidRPr="00490179">
        <w:rPr>
          <w:rFonts w:ascii="Lora" w:hAnsi="Lora"/>
          <w:bCs/>
          <w:sz w:val="24"/>
          <w:szCs w:val="24"/>
        </w:rPr>
        <w:tab/>
        <w:t>Regionálna samospráva (teoretické vymedzenie, proces konštituovania a súčasná podoba regionálnej samosprávy v SR)</w:t>
      </w:r>
      <w:r w:rsidR="00EE46F4">
        <w:rPr>
          <w:rFonts w:ascii="Lora" w:hAnsi="Lora"/>
          <w:bCs/>
          <w:sz w:val="24"/>
          <w:szCs w:val="24"/>
        </w:rPr>
        <w:t>.</w:t>
      </w:r>
    </w:p>
    <w:sectPr w:rsidR="00665DF4">
      <w:head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E6F05" w14:textId="77777777" w:rsidR="00FE40C8" w:rsidRDefault="00FE40C8">
      <w:pPr>
        <w:spacing w:after="0" w:line="240" w:lineRule="auto"/>
      </w:pPr>
      <w:r>
        <w:separator/>
      </w:r>
    </w:p>
  </w:endnote>
  <w:endnote w:type="continuationSeparator" w:id="0">
    <w:p w14:paraId="253C5101" w14:textId="77777777" w:rsidR="00FE40C8" w:rsidRDefault="00FE4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71F00B4-342A-4CA3-AB4F-1AC29AEAC52C}"/>
    <w:embedBold r:id="rId2" w:fontKey="{8AF0BD95-580E-49AE-9CEC-18F0A81518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E86AAEE-49B9-468F-AB62-CFB4182506EC}"/>
    <w:embedBold r:id="rId4" w:fontKey="{F2C997C2-3160-48E5-BAC0-ED3D06976A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F17471D-5B10-4B18-80C6-46E02A1C37A7}"/>
    <w:embedBold r:id="rId6" w:fontKey="{91EB52BB-D1AD-4084-B89F-C920DFD540D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DA2C41E6-8F66-4081-A340-B918767D8B0B}"/>
    <w:embedBold r:id="rId8" w:fontKey="{D704C61F-2A36-478F-A11B-0A11D8CCFD68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874D578-8D82-4E36-B2BB-856BB8538B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78F27" w14:textId="77777777" w:rsidR="00FE40C8" w:rsidRDefault="00FE40C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B0535D8" w14:textId="77777777" w:rsidR="00FE40C8" w:rsidRDefault="00FE4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FE40C8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047110">
    <w:abstractNumId w:val="6"/>
  </w:num>
  <w:num w:numId="2" w16cid:durableId="1391876945">
    <w:abstractNumId w:val="3"/>
  </w:num>
  <w:num w:numId="3" w16cid:durableId="2121558678">
    <w:abstractNumId w:val="4"/>
  </w:num>
  <w:num w:numId="4" w16cid:durableId="1387294967">
    <w:abstractNumId w:val="5"/>
  </w:num>
  <w:num w:numId="5" w16cid:durableId="1957636148">
    <w:abstractNumId w:val="2"/>
  </w:num>
  <w:num w:numId="6" w16cid:durableId="1585915639">
    <w:abstractNumId w:val="1"/>
  </w:num>
  <w:num w:numId="7" w16cid:durableId="262341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19ED"/>
    <w:rsid w:val="0004340D"/>
    <w:rsid w:val="00053094"/>
    <w:rsid w:val="000C5CE6"/>
    <w:rsid w:val="00183505"/>
    <w:rsid w:val="001B3DB9"/>
    <w:rsid w:val="00224E75"/>
    <w:rsid w:val="002D4886"/>
    <w:rsid w:val="003C1F63"/>
    <w:rsid w:val="00423295"/>
    <w:rsid w:val="00490179"/>
    <w:rsid w:val="004A6E18"/>
    <w:rsid w:val="00554E23"/>
    <w:rsid w:val="005B74E4"/>
    <w:rsid w:val="00633163"/>
    <w:rsid w:val="00665DF4"/>
    <w:rsid w:val="006A0297"/>
    <w:rsid w:val="00722B50"/>
    <w:rsid w:val="0089004E"/>
    <w:rsid w:val="008C23B0"/>
    <w:rsid w:val="009273AB"/>
    <w:rsid w:val="009D5515"/>
    <w:rsid w:val="00A41420"/>
    <w:rsid w:val="00A44F1B"/>
    <w:rsid w:val="00A54C8E"/>
    <w:rsid w:val="00A774C6"/>
    <w:rsid w:val="00A95E1E"/>
    <w:rsid w:val="00A9781D"/>
    <w:rsid w:val="00BA6770"/>
    <w:rsid w:val="00BD65E9"/>
    <w:rsid w:val="00D06E66"/>
    <w:rsid w:val="00DE3C55"/>
    <w:rsid w:val="00E07FF0"/>
    <w:rsid w:val="00EA07C0"/>
    <w:rsid w:val="00EE40C4"/>
    <w:rsid w:val="00EE46F4"/>
    <w:rsid w:val="00F42B3B"/>
    <w:rsid w:val="00F93D87"/>
    <w:rsid w:val="00FE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2</cp:revision>
  <dcterms:created xsi:type="dcterms:W3CDTF">2022-04-22T08:42:00Z</dcterms:created>
  <dcterms:modified xsi:type="dcterms:W3CDTF">2022-04-22T08:42:00Z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